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F8AC" w14:textId="5A3F3F4D" w:rsidR="009C78C4" w:rsidRPr="00503DDE" w:rsidRDefault="009C78C4" w:rsidP="007D49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3DDE">
        <w:rPr>
          <w:rFonts w:ascii="Arial" w:hAnsi="Arial" w:cs="Arial"/>
          <w:b/>
          <w:sz w:val="20"/>
          <w:szCs w:val="20"/>
        </w:rPr>
        <w:t>SCHEDULE 1</w:t>
      </w:r>
    </w:p>
    <w:p w14:paraId="1F50C9A2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4330F0" w14:textId="665BB6E2" w:rsidR="00503DDE" w:rsidRDefault="00503DDE" w:rsidP="00503D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3DDE">
        <w:rPr>
          <w:rFonts w:ascii="Arial" w:hAnsi="Arial" w:cs="Arial"/>
          <w:sz w:val="20"/>
          <w:szCs w:val="20"/>
        </w:rPr>
        <w:t xml:space="preserve">Approved </w:t>
      </w:r>
      <w:r>
        <w:rPr>
          <w:rFonts w:ascii="Arial" w:hAnsi="Arial" w:cs="Arial"/>
          <w:sz w:val="20"/>
          <w:szCs w:val="20"/>
        </w:rPr>
        <w:t>pursuant to</w:t>
      </w:r>
      <w:r w:rsidRPr="00503DDE">
        <w:rPr>
          <w:rFonts w:ascii="Arial" w:hAnsi="Arial" w:cs="Arial"/>
          <w:sz w:val="20"/>
          <w:szCs w:val="20"/>
        </w:rPr>
        <w:t xml:space="preserve"> the decision of the </w:t>
      </w:r>
      <w:r>
        <w:rPr>
          <w:rFonts w:ascii="Arial" w:hAnsi="Arial" w:cs="Arial"/>
          <w:sz w:val="20"/>
          <w:szCs w:val="20"/>
        </w:rPr>
        <w:t>Noteholders</w:t>
      </w:r>
      <w:r w:rsidRPr="00503DDE">
        <w:rPr>
          <w:rFonts w:ascii="Arial" w:hAnsi="Arial" w:cs="Arial"/>
          <w:sz w:val="20"/>
          <w:szCs w:val="20"/>
        </w:rPr>
        <w:t xml:space="preserve"> taken in the </w:t>
      </w:r>
      <w:r w:rsidR="00231742">
        <w:rPr>
          <w:rFonts w:ascii="Arial" w:hAnsi="Arial" w:cs="Arial"/>
          <w:sz w:val="20"/>
          <w:szCs w:val="20"/>
        </w:rPr>
        <w:t>W</w:t>
      </w:r>
      <w:r w:rsidRPr="00503DDE">
        <w:rPr>
          <w:rFonts w:ascii="Arial" w:hAnsi="Arial" w:cs="Arial"/>
          <w:sz w:val="20"/>
          <w:szCs w:val="20"/>
        </w:rPr>
        <w:t xml:space="preserve">ritten </w:t>
      </w:r>
      <w:r w:rsidR="00231742">
        <w:rPr>
          <w:rFonts w:ascii="Arial" w:hAnsi="Arial" w:cs="Arial"/>
          <w:sz w:val="20"/>
          <w:szCs w:val="20"/>
        </w:rPr>
        <w:t>P</w:t>
      </w:r>
      <w:r w:rsidRPr="00503DDE">
        <w:rPr>
          <w:rFonts w:ascii="Arial" w:hAnsi="Arial" w:cs="Arial"/>
          <w:sz w:val="20"/>
          <w:szCs w:val="20"/>
        </w:rPr>
        <w:t>rocedure provided for in</w:t>
      </w:r>
      <w:r>
        <w:rPr>
          <w:rFonts w:ascii="Arial" w:hAnsi="Arial" w:cs="Arial"/>
          <w:sz w:val="20"/>
          <w:szCs w:val="20"/>
        </w:rPr>
        <w:t xml:space="preserve"> Clause</w:t>
      </w:r>
      <w:r w:rsidRPr="00503DDE">
        <w:rPr>
          <w:rFonts w:ascii="Arial" w:hAnsi="Arial" w:cs="Arial"/>
          <w:sz w:val="20"/>
          <w:szCs w:val="20"/>
        </w:rPr>
        <w:t xml:space="preserve"> </w:t>
      </w:r>
      <w:r w:rsidR="00231742">
        <w:rPr>
          <w:rFonts w:ascii="Arial" w:hAnsi="Arial" w:cs="Arial"/>
          <w:sz w:val="20"/>
          <w:szCs w:val="20"/>
        </w:rPr>
        <w:t>26.3</w:t>
      </w:r>
      <w:r w:rsidRPr="00503DDE">
        <w:rPr>
          <w:rFonts w:ascii="Arial" w:hAnsi="Arial" w:cs="Arial"/>
          <w:sz w:val="20"/>
          <w:szCs w:val="20"/>
        </w:rPr>
        <w:t xml:space="preserve"> of the </w:t>
      </w:r>
      <w:r w:rsidR="00231742">
        <w:rPr>
          <w:rFonts w:ascii="Arial" w:hAnsi="Arial" w:cs="Arial"/>
          <w:sz w:val="20"/>
          <w:szCs w:val="20"/>
        </w:rPr>
        <w:t xml:space="preserve">General </w:t>
      </w:r>
      <w:r>
        <w:rPr>
          <w:rFonts w:ascii="Arial" w:hAnsi="Arial" w:cs="Arial"/>
          <w:sz w:val="20"/>
          <w:szCs w:val="20"/>
        </w:rPr>
        <w:t>Terms and Conditions</w:t>
      </w:r>
      <w:r w:rsidR="00FD43BF">
        <w:rPr>
          <w:rFonts w:ascii="Arial" w:hAnsi="Arial" w:cs="Arial"/>
          <w:sz w:val="20"/>
          <w:szCs w:val="20"/>
        </w:rPr>
        <w:t xml:space="preserve"> of the Notes</w:t>
      </w:r>
      <w:r>
        <w:rPr>
          <w:rFonts w:ascii="Arial" w:hAnsi="Arial" w:cs="Arial"/>
          <w:sz w:val="20"/>
          <w:szCs w:val="20"/>
        </w:rPr>
        <w:t xml:space="preserve"> </w:t>
      </w:r>
      <w:r w:rsidRPr="00503DDE">
        <w:rPr>
          <w:rFonts w:ascii="Arial" w:hAnsi="Arial" w:cs="Arial"/>
          <w:sz w:val="20"/>
          <w:szCs w:val="20"/>
        </w:rPr>
        <w:t xml:space="preserve">in accordance with the announcement of </w:t>
      </w:r>
    </w:p>
    <w:p w14:paraId="2904E5D9" w14:textId="391BE30D" w:rsidR="009C78C4" w:rsidRPr="00503DDE" w:rsidRDefault="00503DDE" w:rsidP="00503DD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03DDE">
        <w:rPr>
          <w:rFonts w:ascii="Arial" w:hAnsi="Arial" w:cs="Arial"/>
          <w:sz w:val="20"/>
          <w:szCs w:val="20"/>
        </w:rPr>
        <w:t xml:space="preserve">AS </w:t>
      </w:r>
      <w:r w:rsidR="009C16ED">
        <w:rPr>
          <w:rFonts w:ascii="Arial" w:hAnsi="Arial" w:cs="Arial"/>
          <w:sz w:val="20"/>
          <w:szCs w:val="20"/>
        </w:rPr>
        <w:t>“</w:t>
      </w:r>
      <w:r w:rsidRPr="00503DDE">
        <w:rPr>
          <w:rFonts w:ascii="Arial" w:hAnsi="Arial" w:cs="Arial"/>
          <w:sz w:val="20"/>
          <w:szCs w:val="20"/>
        </w:rPr>
        <w:t>Storent</w:t>
      </w:r>
      <w:r>
        <w:rPr>
          <w:rFonts w:ascii="Arial" w:hAnsi="Arial" w:cs="Arial"/>
          <w:sz w:val="20"/>
          <w:szCs w:val="20"/>
        </w:rPr>
        <w:t xml:space="preserve"> </w:t>
      </w:r>
      <w:r w:rsidR="00231742">
        <w:rPr>
          <w:rFonts w:ascii="Arial" w:hAnsi="Arial" w:cs="Arial"/>
          <w:sz w:val="20"/>
          <w:szCs w:val="20"/>
        </w:rPr>
        <w:t>Holding</w:t>
      </w:r>
      <w:r w:rsidR="009C16ED">
        <w:rPr>
          <w:rFonts w:ascii="Arial" w:hAnsi="Arial" w:cs="Arial"/>
          <w:sz w:val="20"/>
          <w:szCs w:val="20"/>
        </w:rPr>
        <w:t>”</w:t>
      </w:r>
      <w:r w:rsidRPr="00503DDE">
        <w:rPr>
          <w:rFonts w:ascii="Arial" w:hAnsi="Arial" w:cs="Arial"/>
          <w:sz w:val="20"/>
          <w:szCs w:val="20"/>
        </w:rPr>
        <w:t xml:space="preserve"> dated</w:t>
      </w:r>
      <w:r>
        <w:rPr>
          <w:rFonts w:ascii="Arial" w:hAnsi="Arial" w:cs="Arial"/>
          <w:sz w:val="20"/>
          <w:szCs w:val="20"/>
        </w:rPr>
        <w:t xml:space="preserve"> </w:t>
      </w:r>
      <w:r w:rsidR="00635AFE">
        <w:rPr>
          <w:rFonts w:ascii="Arial" w:hAnsi="Arial" w:cs="Arial"/>
          <w:sz w:val="20"/>
          <w:szCs w:val="20"/>
        </w:rPr>
        <w:t>8 August</w:t>
      </w:r>
      <w:r w:rsidR="00635AFE" w:rsidRPr="00503DDE">
        <w:rPr>
          <w:rFonts w:ascii="Arial" w:hAnsi="Arial" w:cs="Arial"/>
          <w:sz w:val="20"/>
          <w:szCs w:val="20"/>
        </w:rPr>
        <w:t xml:space="preserve"> </w:t>
      </w:r>
      <w:r w:rsidRPr="00503DDE">
        <w:rPr>
          <w:rFonts w:ascii="Arial" w:hAnsi="Arial" w:cs="Arial"/>
          <w:sz w:val="20"/>
          <w:szCs w:val="20"/>
        </w:rPr>
        <w:t>202</w:t>
      </w:r>
      <w:r w:rsidR="00231742">
        <w:rPr>
          <w:rFonts w:ascii="Arial" w:hAnsi="Arial" w:cs="Arial"/>
          <w:sz w:val="20"/>
          <w:szCs w:val="20"/>
        </w:rPr>
        <w:t>4</w:t>
      </w:r>
    </w:p>
    <w:p w14:paraId="3BF26FC1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B6023F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812181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EEF394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036AEE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29F12B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15EE1C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21061" w14:textId="7802E7C3" w:rsidR="009C78C4" w:rsidRPr="00503DDE" w:rsidRDefault="009C78C4" w:rsidP="007D49C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03DDE">
        <w:rPr>
          <w:rFonts w:ascii="Arial" w:hAnsi="Arial" w:cs="Arial"/>
          <w:b/>
          <w:sz w:val="20"/>
          <w:szCs w:val="20"/>
        </w:rPr>
        <w:t>AMENDMENTS TO</w:t>
      </w:r>
      <w:r w:rsidR="00BB5A8E">
        <w:rPr>
          <w:rFonts w:ascii="Arial" w:hAnsi="Arial" w:cs="Arial"/>
          <w:b/>
          <w:sz w:val="20"/>
          <w:szCs w:val="20"/>
        </w:rPr>
        <w:t xml:space="preserve"> </w:t>
      </w:r>
      <w:r w:rsidR="00BB5A8E">
        <w:rPr>
          <w:rFonts w:ascii="Arial" w:hAnsi="Arial" w:cs="Arial"/>
          <w:b/>
          <w:sz w:val="20"/>
          <w:szCs w:val="20"/>
        </w:rPr>
        <w:br/>
      </w:r>
      <w:r w:rsidR="00FD43BF">
        <w:rPr>
          <w:rFonts w:ascii="Arial" w:hAnsi="Arial" w:cs="Arial"/>
          <w:b/>
          <w:bCs/>
          <w:caps/>
          <w:sz w:val="20"/>
          <w:szCs w:val="20"/>
        </w:rPr>
        <w:t xml:space="preserve">General </w:t>
      </w:r>
      <w:r w:rsidR="00503DDE" w:rsidRPr="00503DDE">
        <w:rPr>
          <w:rFonts w:ascii="Arial" w:hAnsi="Arial" w:cs="Arial"/>
          <w:b/>
          <w:bCs/>
          <w:caps/>
          <w:sz w:val="20"/>
          <w:szCs w:val="20"/>
        </w:rPr>
        <w:t>Terms and Conditions of</w:t>
      </w:r>
      <w:r w:rsidR="00FD43BF">
        <w:rPr>
          <w:rFonts w:ascii="Arial" w:hAnsi="Arial" w:cs="Arial"/>
          <w:b/>
          <w:bCs/>
          <w:caps/>
          <w:sz w:val="20"/>
          <w:szCs w:val="20"/>
        </w:rPr>
        <w:t xml:space="preserve"> the</w:t>
      </w:r>
      <w:r w:rsidR="00503DDE" w:rsidRPr="00503DDE">
        <w:rPr>
          <w:rFonts w:ascii="Arial" w:hAnsi="Arial" w:cs="Arial"/>
          <w:b/>
          <w:bCs/>
          <w:caps/>
          <w:sz w:val="20"/>
          <w:szCs w:val="20"/>
        </w:rPr>
        <w:t xml:space="preserve"> Notes</w:t>
      </w:r>
      <w:r w:rsidRPr="00503DDE">
        <w:rPr>
          <w:rFonts w:ascii="Arial" w:hAnsi="Arial" w:cs="Arial"/>
          <w:b/>
          <w:sz w:val="20"/>
          <w:szCs w:val="20"/>
        </w:rPr>
        <w:t xml:space="preserve"> </w:t>
      </w:r>
      <w:r w:rsidR="0048252B">
        <w:rPr>
          <w:rFonts w:ascii="Arial" w:hAnsi="Arial" w:cs="Arial"/>
          <w:b/>
          <w:sz w:val="20"/>
          <w:szCs w:val="20"/>
        </w:rPr>
        <w:t xml:space="preserve">OF AS “STORENT </w:t>
      </w:r>
      <w:r w:rsidR="00FD43BF">
        <w:rPr>
          <w:rFonts w:ascii="Arial" w:hAnsi="Arial" w:cs="Arial"/>
          <w:b/>
          <w:sz w:val="20"/>
          <w:szCs w:val="20"/>
        </w:rPr>
        <w:t>HOLDING</w:t>
      </w:r>
      <w:r w:rsidR="0048252B">
        <w:rPr>
          <w:rFonts w:ascii="Arial" w:hAnsi="Arial" w:cs="Arial"/>
          <w:b/>
          <w:sz w:val="20"/>
          <w:szCs w:val="20"/>
        </w:rPr>
        <w:t>”</w:t>
      </w:r>
    </w:p>
    <w:p w14:paraId="4B30CFC7" w14:textId="17DA4FC8" w:rsidR="009C78C4" w:rsidRPr="00503DDE" w:rsidRDefault="00503DDE" w:rsidP="00503DD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2877">
        <w:rPr>
          <w:rFonts w:ascii="Arial" w:hAnsi="Arial" w:cs="Arial"/>
          <w:b/>
          <w:sz w:val="20"/>
          <w:szCs w:val="20"/>
          <w:lang w:val="lv-LV"/>
        </w:rPr>
        <w:t>(</w:t>
      </w:r>
      <w:bookmarkStart w:id="0" w:name="_Hlk168395582"/>
      <w:r w:rsidR="00FD43BF" w:rsidRPr="00FD43BF">
        <w:rPr>
          <w:rFonts w:ascii="Arial" w:hAnsi="Arial" w:cs="Arial"/>
          <w:b/>
          <w:sz w:val="20"/>
          <w:szCs w:val="20"/>
          <w:lang w:val="lv-LV"/>
        </w:rPr>
        <w:t xml:space="preserve">ISIN LV0000850089 </w:t>
      </w:r>
      <w:r w:rsidR="00FD43BF">
        <w:rPr>
          <w:rFonts w:ascii="Arial" w:hAnsi="Arial" w:cs="Arial"/>
          <w:b/>
          <w:sz w:val="20"/>
          <w:szCs w:val="20"/>
          <w:lang w:val="lv-LV"/>
        </w:rPr>
        <w:t>AND</w:t>
      </w:r>
      <w:r w:rsidR="00FD43BF" w:rsidRPr="00FD43BF">
        <w:rPr>
          <w:rFonts w:ascii="Arial" w:hAnsi="Arial" w:cs="Arial"/>
          <w:b/>
          <w:sz w:val="20"/>
          <w:szCs w:val="20"/>
          <w:lang w:val="lv-LV"/>
        </w:rPr>
        <w:t xml:space="preserve"> ISIN LV0000850345</w:t>
      </w:r>
      <w:bookmarkEnd w:id="0"/>
      <w:r w:rsidRPr="00EE2877">
        <w:rPr>
          <w:rFonts w:ascii="Arial" w:hAnsi="Arial" w:cs="Arial"/>
          <w:b/>
          <w:sz w:val="20"/>
          <w:szCs w:val="20"/>
          <w:lang w:val="lv-LV"/>
        </w:rPr>
        <w:t>)</w:t>
      </w:r>
    </w:p>
    <w:p w14:paraId="2A9FD2C5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65A25D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12989C" w14:textId="72D3A220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FFA89A" w14:textId="59F3E2E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549247" w14:textId="537CB03E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821D80" w14:textId="27B2B5AE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DF0A98F" w14:textId="64A5822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7EFCA4" w14:textId="6EAEFDAF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47282C" w14:textId="26DCF4BB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A56E1F" w14:textId="367E59FA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4EA6EF" w14:textId="6C66F3DE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4A66BB5" w14:textId="3BE1E3C5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EBC4DF" w14:textId="66EC83B7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85E21E" w14:textId="1D405C30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1D5542" w14:textId="055CAB2F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1FD442" w14:textId="131ECBEF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24F24" w14:textId="77777777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8499AE" w14:textId="6522DE36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B3980F" w14:textId="77777777" w:rsidR="007D49C0" w:rsidRPr="00503DDE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1E0E8DA" w14:textId="4FCE5931" w:rsidR="009C78C4" w:rsidRPr="00503DDE" w:rsidRDefault="009C78C4" w:rsidP="007D49C0">
      <w:pPr>
        <w:rPr>
          <w:rFonts w:ascii="Arial" w:hAnsi="Arial" w:cs="Arial"/>
          <w:b/>
          <w:sz w:val="20"/>
          <w:szCs w:val="20"/>
        </w:rPr>
      </w:pPr>
    </w:p>
    <w:p w14:paraId="3A408D02" w14:textId="596E6842" w:rsidR="007D49C0" w:rsidRPr="00503DDE" w:rsidRDefault="007D49C0" w:rsidP="007D49C0">
      <w:pPr>
        <w:rPr>
          <w:rFonts w:ascii="Arial" w:hAnsi="Arial" w:cs="Arial"/>
          <w:b/>
          <w:sz w:val="20"/>
          <w:szCs w:val="20"/>
        </w:rPr>
      </w:pPr>
    </w:p>
    <w:p w14:paraId="7BA28058" w14:textId="4B9EEADC" w:rsidR="007D49C0" w:rsidRDefault="007D49C0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A4D08A" w14:textId="0FE11713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3EFEAE" w14:textId="10BD3DB1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6F47908" w14:textId="2BD3F78E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DCCDFA5" w14:textId="37ACADB6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90E0D4" w14:textId="2F0E0A52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AEB572" w14:textId="71739F18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AB3CE6" w14:textId="734C3405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749662" w14:textId="0CB9FD1B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2F9D92" w14:textId="7BBCBCAF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29F6CD4" w14:textId="091EC02F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BF8344" w14:textId="7D1BD0BE" w:rsid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9CE36D" w14:textId="77777777" w:rsidR="00503DDE" w:rsidRPr="00503DDE" w:rsidRDefault="00503DDE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46BDFA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7575CE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355793" w14:textId="6C2FBE04" w:rsidR="009C78C4" w:rsidRPr="00503DDE" w:rsidRDefault="009C78C4" w:rsidP="007D49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03DDE">
        <w:rPr>
          <w:rFonts w:ascii="Arial" w:hAnsi="Arial" w:cs="Arial"/>
          <w:sz w:val="20"/>
          <w:szCs w:val="20"/>
        </w:rPr>
        <w:t xml:space="preserve">Riga, </w:t>
      </w:r>
      <w:r w:rsidR="00B054BC">
        <w:rPr>
          <w:rFonts w:ascii="Arial" w:hAnsi="Arial" w:cs="Arial"/>
          <w:sz w:val="20"/>
          <w:szCs w:val="20"/>
          <w:lang w:val="lv-LV"/>
        </w:rPr>
        <w:t xml:space="preserve">8 August </w:t>
      </w:r>
      <w:r w:rsidRPr="00503DDE">
        <w:rPr>
          <w:rFonts w:ascii="Arial" w:hAnsi="Arial" w:cs="Arial"/>
          <w:sz w:val="20"/>
          <w:szCs w:val="20"/>
          <w:lang w:val="lv-LV"/>
        </w:rPr>
        <w:t>20</w:t>
      </w:r>
      <w:r w:rsidR="00503DDE">
        <w:rPr>
          <w:rFonts w:ascii="Arial" w:hAnsi="Arial" w:cs="Arial"/>
          <w:sz w:val="20"/>
          <w:szCs w:val="20"/>
          <w:lang w:val="lv-LV"/>
        </w:rPr>
        <w:t>2</w:t>
      </w:r>
      <w:r w:rsidR="00FD43BF">
        <w:rPr>
          <w:rFonts w:ascii="Arial" w:hAnsi="Arial" w:cs="Arial"/>
          <w:sz w:val="20"/>
          <w:szCs w:val="20"/>
          <w:lang w:val="lv-LV"/>
        </w:rPr>
        <w:t>4</w:t>
      </w:r>
    </w:p>
    <w:p w14:paraId="0CE2C6B9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  <w:sectPr w:rsidR="009C78C4" w:rsidRPr="00503DDE">
          <w:pgSz w:w="12240" w:h="15840"/>
          <w:pgMar w:top="1418" w:right="1418" w:bottom="1418" w:left="1418" w:header="709" w:footer="709" w:gutter="0"/>
          <w:cols w:space="708"/>
          <w:docGrid w:linePitch="360"/>
        </w:sectPr>
      </w:pPr>
    </w:p>
    <w:p w14:paraId="485F9E23" w14:textId="77777777" w:rsidR="00E21359" w:rsidRPr="00E21359" w:rsidRDefault="00E21359" w:rsidP="00E213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2BDA2" w14:textId="595A6646" w:rsidR="000D4049" w:rsidRPr="000D4049" w:rsidRDefault="00FD43BF" w:rsidP="000D40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3BF">
        <w:rPr>
          <w:rFonts w:ascii="Arial" w:hAnsi="Arial" w:cs="Arial"/>
          <w:sz w:val="20"/>
          <w:szCs w:val="20"/>
        </w:rPr>
        <w:t>General Terms and Conditions of the Notes set forth in the Base Prospectus of AS “Storent Holding” dated 25 May 2023 and the supplement to it dated 21 February 2024</w:t>
      </w:r>
      <w:r>
        <w:rPr>
          <w:rFonts w:ascii="Arial" w:hAnsi="Arial" w:cs="Arial"/>
          <w:sz w:val="20"/>
          <w:szCs w:val="20"/>
        </w:rPr>
        <w:t xml:space="preserve"> (the “</w:t>
      </w:r>
      <w:r>
        <w:rPr>
          <w:rFonts w:ascii="Arial" w:hAnsi="Arial" w:cs="Arial"/>
          <w:b/>
          <w:bCs/>
          <w:sz w:val="20"/>
          <w:szCs w:val="20"/>
        </w:rPr>
        <w:t>General Terms and Conditions</w:t>
      </w:r>
      <w:r>
        <w:rPr>
          <w:rFonts w:ascii="Arial" w:hAnsi="Arial" w:cs="Arial"/>
          <w:sz w:val="20"/>
          <w:szCs w:val="20"/>
        </w:rPr>
        <w:t>”), governing the Notes issued by the Issuer on 21 June 2023 and 12 October 2023 (</w:t>
      </w:r>
      <w:r w:rsidRPr="00FD43BF">
        <w:rPr>
          <w:rFonts w:ascii="Arial" w:hAnsi="Arial" w:cs="Arial"/>
          <w:sz w:val="20"/>
          <w:szCs w:val="20"/>
        </w:rPr>
        <w:t>ISIN LV0000850089</w:t>
      </w:r>
      <w:r>
        <w:rPr>
          <w:rFonts w:ascii="Arial" w:hAnsi="Arial" w:cs="Arial"/>
          <w:sz w:val="20"/>
          <w:szCs w:val="20"/>
        </w:rPr>
        <w:t>) and 21 March 2024 and 22 March 2024 (</w:t>
      </w:r>
      <w:r w:rsidRPr="00FD43BF">
        <w:rPr>
          <w:rFonts w:ascii="Arial" w:hAnsi="Arial" w:cs="Arial"/>
          <w:sz w:val="20"/>
          <w:szCs w:val="20"/>
        </w:rPr>
        <w:t>ISIN LV0000850345</w:t>
      </w:r>
      <w:r>
        <w:rPr>
          <w:rFonts w:ascii="Arial" w:hAnsi="Arial" w:cs="Arial"/>
          <w:sz w:val="20"/>
          <w:szCs w:val="20"/>
        </w:rPr>
        <w:t xml:space="preserve">), are hereby amended </w:t>
      </w:r>
      <w:r w:rsidR="000D4049" w:rsidRPr="000D4049">
        <w:rPr>
          <w:rFonts w:ascii="Arial" w:hAnsi="Arial" w:cs="Arial"/>
          <w:sz w:val="20"/>
          <w:szCs w:val="20"/>
        </w:rPr>
        <w:t xml:space="preserve">as follows: </w:t>
      </w:r>
    </w:p>
    <w:p w14:paraId="25C1EB43" w14:textId="77777777" w:rsidR="000D4049" w:rsidRPr="000D4049" w:rsidRDefault="000D4049" w:rsidP="000D4049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B231D" w14:textId="3F02143C" w:rsidR="000D4049" w:rsidRDefault="000D4049" w:rsidP="000D404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4049">
        <w:rPr>
          <w:rFonts w:ascii="Arial" w:hAnsi="Arial" w:cs="Arial"/>
          <w:sz w:val="20"/>
          <w:szCs w:val="20"/>
        </w:rPr>
        <w:t xml:space="preserve">for the purpose of </w:t>
      </w:r>
      <w:r w:rsidR="0024113A">
        <w:rPr>
          <w:rFonts w:ascii="Arial" w:hAnsi="Arial" w:cs="Arial"/>
          <w:sz w:val="20"/>
          <w:szCs w:val="20"/>
        </w:rPr>
        <w:t xml:space="preserve">enabling the Issuer </w:t>
      </w:r>
      <w:r w:rsidR="003A06BF">
        <w:rPr>
          <w:rFonts w:ascii="Arial" w:hAnsi="Arial" w:cs="Arial"/>
          <w:sz w:val="20"/>
          <w:szCs w:val="20"/>
        </w:rPr>
        <w:t xml:space="preserve">to realize </w:t>
      </w:r>
      <w:r w:rsidR="001F58DE" w:rsidRPr="001F58DE">
        <w:rPr>
          <w:rFonts w:ascii="Arial" w:hAnsi="Arial" w:cs="Arial"/>
          <w:sz w:val="20"/>
          <w:szCs w:val="20"/>
        </w:rPr>
        <w:t>the favorable market conditions</w:t>
      </w:r>
      <w:r w:rsidR="001F58DE">
        <w:rPr>
          <w:rFonts w:ascii="Arial" w:hAnsi="Arial" w:cs="Arial"/>
          <w:sz w:val="20"/>
          <w:szCs w:val="20"/>
        </w:rPr>
        <w:t>, make sign</w:t>
      </w:r>
      <w:r w:rsidR="005B0574">
        <w:rPr>
          <w:rFonts w:ascii="Arial" w:hAnsi="Arial" w:cs="Arial"/>
          <w:sz w:val="20"/>
          <w:szCs w:val="20"/>
        </w:rPr>
        <w:t xml:space="preserve">ificant investments and </w:t>
      </w:r>
      <w:r w:rsidR="00D91F39" w:rsidRPr="00D91F39">
        <w:rPr>
          <w:rFonts w:ascii="Arial" w:hAnsi="Arial" w:cs="Arial"/>
          <w:sz w:val="20"/>
          <w:szCs w:val="20"/>
        </w:rPr>
        <w:t>further develop and seize the market potential</w:t>
      </w:r>
      <w:r w:rsidRPr="000D4049">
        <w:rPr>
          <w:rFonts w:ascii="Arial" w:hAnsi="Arial" w:cs="Arial"/>
          <w:sz w:val="20"/>
          <w:szCs w:val="20"/>
        </w:rPr>
        <w:t xml:space="preserve">, Clause </w:t>
      </w:r>
      <w:r w:rsidR="00573D72">
        <w:rPr>
          <w:rFonts w:ascii="Arial" w:hAnsi="Arial" w:cs="Arial"/>
          <w:sz w:val="20"/>
          <w:szCs w:val="20"/>
        </w:rPr>
        <w:t>16.2</w:t>
      </w:r>
      <w:r w:rsidRPr="000D4049">
        <w:rPr>
          <w:rFonts w:ascii="Arial" w:hAnsi="Arial" w:cs="Arial"/>
          <w:sz w:val="20"/>
          <w:szCs w:val="20"/>
        </w:rPr>
        <w:t xml:space="preserve"> of the</w:t>
      </w:r>
      <w:r w:rsidR="003F433F">
        <w:rPr>
          <w:rFonts w:ascii="Arial" w:hAnsi="Arial" w:cs="Arial"/>
          <w:sz w:val="20"/>
          <w:szCs w:val="20"/>
        </w:rPr>
        <w:t xml:space="preserve"> </w:t>
      </w:r>
      <w:r w:rsidR="00573D72">
        <w:rPr>
          <w:rFonts w:ascii="Arial" w:hAnsi="Arial" w:cs="Arial"/>
          <w:sz w:val="20"/>
          <w:szCs w:val="20"/>
        </w:rPr>
        <w:t xml:space="preserve">General </w:t>
      </w:r>
      <w:r w:rsidR="003F433F">
        <w:rPr>
          <w:rFonts w:ascii="Arial" w:hAnsi="Arial" w:cs="Arial"/>
          <w:sz w:val="20"/>
          <w:szCs w:val="20"/>
        </w:rPr>
        <w:t>Terms and</w:t>
      </w:r>
      <w:r w:rsidRPr="000D4049">
        <w:rPr>
          <w:rFonts w:ascii="Arial" w:hAnsi="Arial" w:cs="Arial"/>
          <w:sz w:val="20"/>
          <w:szCs w:val="20"/>
        </w:rPr>
        <w:t xml:space="preserve"> Conditions</w:t>
      </w:r>
      <w:r w:rsidR="00681526">
        <w:rPr>
          <w:rFonts w:ascii="Arial" w:hAnsi="Arial" w:cs="Arial"/>
          <w:sz w:val="20"/>
          <w:szCs w:val="20"/>
        </w:rPr>
        <w:t xml:space="preserve"> shall be expressed</w:t>
      </w:r>
      <w:r w:rsidRPr="000D4049">
        <w:rPr>
          <w:rFonts w:ascii="Arial" w:hAnsi="Arial" w:cs="Arial"/>
          <w:sz w:val="20"/>
          <w:szCs w:val="20"/>
        </w:rPr>
        <w:t xml:space="preserve"> as follows:</w:t>
      </w:r>
    </w:p>
    <w:p w14:paraId="6CCC6688" w14:textId="78865FE8" w:rsidR="003F433F" w:rsidRDefault="003F433F" w:rsidP="003F433F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143BB1" w14:textId="50039E88" w:rsidR="00A36B9A" w:rsidRPr="000E005D" w:rsidRDefault="00FA0386" w:rsidP="00FA0386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</w:t>
      </w:r>
      <w:r w:rsidR="008E5B56" w:rsidRPr="000E005D">
        <w:rPr>
          <w:rFonts w:ascii="Arial" w:hAnsi="Arial" w:cs="Arial"/>
          <w:i/>
          <w:iCs/>
          <w:sz w:val="20"/>
          <w:szCs w:val="20"/>
        </w:rPr>
        <w:t xml:space="preserve">16.2. </w:t>
      </w:r>
      <w:r w:rsidR="008E5B56" w:rsidRPr="00690B71">
        <w:rPr>
          <w:rFonts w:ascii="Arial" w:hAnsi="Arial" w:cs="Arial"/>
          <w:b/>
          <w:bCs/>
          <w:i/>
          <w:iCs/>
          <w:sz w:val="20"/>
          <w:szCs w:val="20"/>
        </w:rPr>
        <w:t>Net Debt/EBITDA</w:t>
      </w:r>
    </w:p>
    <w:p w14:paraId="6BD71587" w14:textId="71B22E30" w:rsidR="00573D72" w:rsidRPr="000E005D" w:rsidRDefault="00573D72" w:rsidP="00FA0386">
      <w:pPr>
        <w:spacing w:after="120"/>
        <w:ind w:left="1080"/>
        <w:jc w:val="both"/>
        <w:rPr>
          <w:rFonts w:ascii="Arial" w:hAnsi="Arial" w:cs="Arial"/>
          <w:i/>
          <w:iCs/>
          <w:sz w:val="20"/>
          <w:szCs w:val="20"/>
        </w:rPr>
      </w:pPr>
      <w:r w:rsidRPr="000E005D">
        <w:rPr>
          <w:rFonts w:ascii="Arial" w:hAnsi="Arial" w:cs="Arial"/>
          <w:i/>
          <w:iCs/>
          <w:sz w:val="20"/>
          <w:szCs w:val="20"/>
        </w:rPr>
        <w:t xml:space="preserve">The Issuer’s Net Debt/EBITDA Ratio for the for the previous 12 (twelve) months: </w:t>
      </w:r>
    </w:p>
    <w:p w14:paraId="6D28832E" w14:textId="0F3FAD6B" w:rsidR="00616A12" w:rsidRPr="000E005D" w:rsidRDefault="00DE100F" w:rsidP="00690B71">
      <w:pPr>
        <w:pStyle w:val="ListParagraph"/>
        <w:numPr>
          <w:ilvl w:val="0"/>
          <w:numId w:val="7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>until second Quarter of 2024 (inclusive),</w:t>
      </w:r>
      <w:r w:rsidR="005430BF" w:rsidRPr="000E005D">
        <w:rPr>
          <w:rFonts w:ascii="Arial" w:hAnsi="Arial" w:cs="Arial"/>
          <w:i/>
          <w:iCs/>
          <w:sz w:val="20"/>
          <w:szCs w:val="20"/>
        </w:rPr>
        <w:t xml:space="preserve"> shall </w:t>
      </w:r>
      <w:r w:rsidR="00B02294">
        <w:rPr>
          <w:rFonts w:ascii="Arial" w:hAnsi="Arial" w:cs="Arial"/>
          <w:i/>
          <w:iCs/>
          <w:sz w:val="20"/>
          <w:szCs w:val="20"/>
        </w:rPr>
        <w:t xml:space="preserve">not </w:t>
      </w:r>
      <w:r w:rsidR="005430BF" w:rsidRPr="000E005D">
        <w:rPr>
          <w:rFonts w:ascii="Arial" w:hAnsi="Arial" w:cs="Arial"/>
          <w:i/>
          <w:iCs/>
          <w:sz w:val="20"/>
          <w:szCs w:val="20"/>
        </w:rPr>
        <w:t>be</w:t>
      </w:r>
      <w:r w:rsidRPr="00690B71">
        <w:rPr>
          <w:rFonts w:ascii="Arial" w:hAnsi="Arial" w:cs="Arial"/>
          <w:i/>
          <w:iCs/>
          <w:sz w:val="20"/>
          <w:szCs w:val="20"/>
        </w:rPr>
        <w:t xml:space="preserve"> </w:t>
      </w:r>
      <w:r w:rsidR="00B02294">
        <w:rPr>
          <w:rFonts w:ascii="Arial" w:hAnsi="Arial" w:cs="Arial"/>
          <w:i/>
          <w:iCs/>
          <w:sz w:val="20"/>
          <w:szCs w:val="20"/>
        </w:rPr>
        <w:t xml:space="preserve">higher than </w:t>
      </w:r>
      <w:r w:rsidRPr="00690B71">
        <w:rPr>
          <w:rFonts w:ascii="Arial" w:hAnsi="Arial" w:cs="Arial"/>
          <w:i/>
          <w:iCs/>
          <w:sz w:val="20"/>
          <w:szCs w:val="20"/>
        </w:rPr>
        <w:t>2.5:</w:t>
      </w:r>
    </w:p>
    <w:p w14:paraId="5055308F" w14:textId="746D785A" w:rsidR="009D68C1" w:rsidRPr="000E005D" w:rsidRDefault="009D68C1" w:rsidP="00690B71">
      <w:pPr>
        <w:pStyle w:val="ListParagraph"/>
        <w:numPr>
          <w:ilvl w:val="0"/>
          <w:numId w:val="7"/>
        </w:numPr>
        <w:tabs>
          <w:tab w:val="left" w:pos="50"/>
          <w:tab w:val="num" w:pos="1843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0E005D">
        <w:rPr>
          <w:rFonts w:ascii="Arial" w:hAnsi="Arial" w:cs="Arial"/>
          <w:i/>
          <w:iCs/>
          <w:sz w:val="20"/>
          <w:szCs w:val="20"/>
        </w:rPr>
        <w:t xml:space="preserve">from third Quarter of 2024 to second </w:t>
      </w:r>
      <w:r w:rsidR="005439CE">
        <w:rPr>
          <w:rFonts w:ascii="Arial" w:hAnsi="Arial" w:cs="Arial"/>
          <w:i/>
          <w:iCs/>
          <w:sz w:val="20"/>
          <w:szCs w:val="20"/>
        </w:rPr>
        <w:t>Q</w:t>
      </w:r>
      <w:r w:rsidRPr="000E005D">
        <w:rPr>
          <w:rFonts w:ascii="Arial" w:hAnsi="Arial" w:cs="Arial"/>
          <w:i/>
          <w:iCs/>
          <w:sz w:val="20"/>
          <w:szCs w:val="20"/>
        </w:rPr>
        <w:t xml:space="preserve">uarter of 2025 (inclusive), </w:t>
      </w:r>
      <w:r w:rsidR="005430BF" w:rsidRPr="000E005D">
        <w:rPr>
          <w:rFonts w:ascii="Arial" w:hAnsi="Arial" w:cs="Arial"/>
          <w:i/>
          <w:iCs/>
          <w:sz w:val="20"/>
          <w:szCs w:val="20"/>
        </w:rPr>
        <w:t xml:space="preserve">shall </w:t>
      </w:r>
      <w:r w:rsidR="005F42C6">
        <w:rPr>
          <w:rFonts w:ascii="Arial" w:hAnsi="Arial" w:cs="Arial"/>
          <w:i/>
          <w:iCs/>
          <w:sz w:val="20"/>
          <w:szCs w:val="20"/>
        </w:rPr>
        <w:t xml:space="preserve">not </w:t>
      </w:r>
      <w:r w:rsidR="005430BF" w:rsidRPr="000E005D">
        <w:rPr>
          <w:rFonts w:ascii="Arial" w:hAnsi="Arial" w:cs="Arial"/>
          <w:i/>
          <w:iCs/>
          <w:sz w:val="20"/>
          <w:szCs w:val="20"/>
        </w:rPr>
        <w:t xml:space="preserve">be </w:t>
      </w:r>
      <w:r w:rsidR="005F42C6">
        <w:rPr>
          <w:rFonts w:ascii="Arial" w:hAnsi="Arial" w:cs="Arial"/>
          <w:i/>
          <w:iCs/>
          <w:sz w:val="20"/>
          <w:szCs w:val="20"/>
        </w:rPr>
        <w:t xml:space="preserve">higher than </w:t>
      </w:r>
      <w:r w:rsidRPr="000E005D">
        <w:rPr>
          <w:rFonts w:ascii="Arial" w:hAnsi="Arial" w:cs="Arial"/>
          <w:i/>
          <w:iCs/>
          <w:sz w:val="20"/>
          <w:szCs w:val="20"/>
        </w:rPr>
        <w:t>4:</w:t>
      </w:r>
    </w:p>
    <w:p w14:paraId="02CE8002" w14:textId="69831F40" w:rsidR="008F2FB3" w:rsidRPr="00690B71" w:rsidRDefault="00756CE4" w:rsidP="00690B71">
      <w:pPr>
        <w:pStyle w:val="ListParagraph"/>
        <w:numPr>
          <w:ilvl w:val="0"/>
          <w:numId w:val="7"/>
        </w:numPr>
        <w:tabs>
          <w:tab w:val="left" w:pos="50"/>
          <w:tab w:val="num" w:pos="1843"/>
        </w:tabs>
        <w:spacing w:after="120" w:line="240" w:lineRule="auto"/>
        <w:ind w:left="2127" w:hanging="993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0E005D">
        <w:rPr>
          <w:rFonts w:ascii="Arial" w:hAnsi="Arial" w:cs="Arial"/>
          <w:i/>
          <w:iCs/>
          <w:sz w:val="20"/>
          <w:szCs w:val="20"/>
        </w:rPr>
        <w:t xml:space="preserve">as of third Quarter of 2025, </w:t>
      </w:r>
      <w:r w:rsidR="008F2FB3" w:rsidRPr="000E005D">
        <w:rPr>
          <w:rFonts w:ascii="Arial" w:hAnsi="Arial" w:cs="Arial"/>
          <w:i/>
          <w:iCs/>
          <w:sz w:val="20"/>
          <w:szCs w:val="20"/>
        </w:rPr>
        <w:t xml:space="preserve">shall </w:t>
      </w:r>
      <w:r w:rsidR="005F42C6">
        <w:rPr>
          <w:rFonts w:ascii="Arial" w:hAnsi="Arial" w:cs="Arial"/>
          <w:i/>
          <w:iCs/>
          <w:sz w:val="20"/>
          <w:szCs w:val="20"/>
        </w:rPr>
        <w:t xml:space="preserve">not </w:t>
      </w:r>
      <w:r w:rsidR="008F2FB3" w:rsidRPr="000E005D">
        <w:rPr>
          <w:rFonts w:ascii="Arial" w:hAnsi="Arial" w:cs="Arial"/>
          <w:i/>
          <w:iCs/>
          <w:sz w:val="20"/>
          <w:szCs w:val="20"/>
        </w:rPr>
        <w:t xml:space="preserve">be </w:t>
      </w:r>
      <w:r w:rsidR="005F42C6">
        <w:rPr>
          <w:rFonts w:ascii="Arial" w:hAnsi="Arial" w:cs="Arial"/>
          <w:i/>
          <w:iCs/>
          <w:sz w:val="20"/>
          <w:szCs w:val="20"/>
        </w:rPr>
        <w:t xml:space="preserve">higher than </w:t>
      </w:r>
      <w:r w:rsidRPr="000E005D">
        <w:rPr>
          <w:rFonts w:ascii="Arial" w:hAnsi="Arial" w:cs="Arial"/>
          <w:i/>
          <w:iCs/>
          <w:sz w:val="20"/>
          <w:szCs w:val="20"/>
        </w:rPr>
        <w:t>3.5</w:t>
      </w:r>
      <w:r w:rsidR="008F2FB3" w:rsidRPr="000E005D">
        <w:rPr>
          <w:rFonts w:ascii="Arial" w:hAnsi="Arial" w:cs="Arial"/>
          <w:i/>
          <w:iCs/>
          <w:sz w:val="20"/>
          <w:szCs w:val="20"/>
        </w:rPr>
        <w:t>.</w:t>
      </w:r>
    </w:p>
    <w:p w14:paraId="52107010" w14:textId="4A2EFC7E" w:rsidR="008F2FB3" w:rsidRPr="00690B71" w:rsidRDefault="00996036" w:rsidP="00690B71">
      <w:pPr>
        <w:tabs>
          <w:tab w:val="left" w:pos="50"/>
          <w:tab w:val="left" w:pos="1134"/>
        </w:tabs>
        <w:spacing w:after="120" w:line="240" w:lineRule="auto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 w:rsidR="008F2FB3" w:rsidRPr="00690B71">
        <w:rPr>
          <w:rFonts w:ascii="Arial" w:hAnsi="Arial" w:cs="Arial"/>
          <w:i/>
          <w:iCs/>
          <w:sz w:val="20"/>
          <w:szCs w:val="20"/>
        </w:rPr>
        <w:t>The Issuer’s Net Debt/EBITDA Ratio shall be calculated</w:t>
      </w:r>
      <w:r w:rsidR="001E766E" w:rsidRPr="00690B71">
        <w:rPr>
          <w:rFonts w:ascii="Arial" w:hAnsi="Arial" w:cs="Arial"/>
          <w:i/>
          <w:iCs/>
          <w:sz w:val="20"/>
          <w:szCs w:val="20"/>
        </w:rPr>
        <w:t>:</w:t>
      </w:r>
    </w:p>
    <w:p w14:paraId="1DDB3E91" w14:textId="6182F274" w:rsidR="00996036" w:rsidRPr="000E005D" w:rsidRDefault="003362B4" w:rsidP="00690B71">
      <w:pPr>
        <w:pStyle w:val="ListParagraph"/>
        <w:numPr>
          <w:ilvl w:val="0"/>
          <w:numId w:val="10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0E005D">
        <w:rPr>
          <w:rFonts w:ascii="Arial" w:hAnsi="Arial" w:cs="Arial"/>
          <w:i/>
          <w:iCs/>
          <w:sz w:val="20"/>
          <w:szCs w:val="20"/>
        </w:rPr>
        <w:t>as at the end of each Quarter determined on the basis of the Issuer’s consolidated monthly financial statements for the previous 12 (twelve) months;</w:t>
      </w:r>
      <w:r w:rsidR="00BF1CDA" w:rsidRPr="000E005D">
        <w:rPr>
          <w:rFonts w:ascii="Arial" w:hAnsi="Arial" w:cs="Arial"/>
          <w:i/>
          <w:iCs/>
          <w:sz w:val="20"/>
          <w:szCs w:val="20"/>
        </w:rPr>
        <w:t xml:space="preserve"> and</w:t>
      </w:r>
    </w:p>
    <w:p w14:paraId="02CA56FD" w14:textId="1BB38118" w:rsidR="00573D72" w:rsidRPr="00690B71" w:rsidRDefault="002711B3" w:rsidP="00690B71">
      <w:pPr>
        <w:pStyle w:val="ListParagraph"/>
        <w:numPr>
          <w:ilvl w:val="0"/>
          <w:numId w:val="10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>as at 31 December each year, as determined on the consolidated basis on the basis of each of the Issuer’s annual financial reports.</w:t>
      </w:r>
      <w:r w:rsidR="00FA0386" w:rsidRPr="00690B71">
        <w:rPr>
          <w:rFonts w:ascii="Arial" w:hAnsi="Arial" w:cs="Arial"/>
          <w:i/>
          <w:iCs/>
          <w:sz w:val="20"/>
          <w:szCs w:val="20"/>
        </w:rPr>
        <w:t>”</w:t>
      </w:r>
    </w:p>
    <w:p w14:paraId="6B9C83FB" w14:textId="77777777" w:rsidR="00A43DB6" w:rsidRPr="00690B71" w:rsidRDefault="008E5B56" w:rsidP="00A43DB6">
      <w:pPr>
        <w:pStyle w:val="ListParagraph"/>
        <w:tabs>
          <w:tab w:val="left" w:pos="1134"/>
        </w:tabs>
        <w:spacing w:after="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>“</w:t>
      </w:r>
      <w:r w:rsidRPr="00690B71">
        <w:rPr>
          <w:rFonts w:ascii="Arial" w:hAnsi="Arial" w:cs="Arial"/>
          <w:b/>
          <w:bCs/>
          <w:i/>
          <w:iCs/>
          <w:sz w:val="20"/>
          <w:szCs w:val="20"/>
        </w:rPr>
        <w:t>Net Debt/EBITDA Ratio</w:t>
      </w:r>
      <w:r w:rsidRPr="00690B71">
        <w:rPr>
          <w:rFonts w:ascii="Arial" w:hAnsi="Arial" w:cs="Arial"/>
          <w:i/>
          <w:iCs/>
          <w:sz w:val="20"/>
          <w:szCs w:val="20"/>
        </w:rPr>
        <w:t xml:space="preserve">” means the ratio of interest-bearing liabilities (excluding Subordinated Debt) – (minus) cash to EBITDA of the respective measurement period.  </w:t>
      </w:r>
    </w:p>
    <w:p w14:paraId="12DFB160" w14:textId="77777777" w:rsidR="00A43DB6" w:rsidRPr="00690B71" w:rsidRDefault="00A43DB6" w:rsidP="00A43DB6">
      <w:pPr>
        <w:pStyle w:val="ListParagraph"/>
        <w:tabs>
          <w:tab w:val="left" w:pos="1134"/>
        </w:tabs>
        <w:spacing w:after="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4AA963DD" w14:textId="77777777" w:rsidR="00A43DB6" w:rsidRPr="00690B71" w:rsidRDefault="008E5B56" w:rsidP="00690B71">
      <w:pPr>
        <w:pStyle w:val="ListParagraph"/>
        <w:tabs>
          <w:tab w:val="left" w:pos="1134"/>
        </w:tabs>
        <w:spacing w:after="120" w:line="240" w:lineRule="auto"/>
        <w:ind w:left="1134"/>
        <w:contextualSpacing w:val="0"/>
        <w:jc w:val="both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>“</w:t>
      </w:r>
      <w:r w:rsidRPr="00690B71">
        <w:rPr>
          <w:rFonts w:ascii="Arial" w:hAnsi="Arial" w:cs="Arial"/>
          <w:b/>
          <w:bCs/>
          <w:i/>
          <w:iCs/>
          <w:sz w:val="20"/>
          <w:szCs w:val="20"/>
        </w:rPr>
        <w:t>EBITDA</w:t>
      </w:r>
      <w:r w:rsidRPr="00690B71">
        <w:rPr>
          <w:rFonts w:ascii="Arial" w:hAnsi="Arial" w:cs="Arial"/>
          <w:i/>
          <w:iCs/>
          <w:sz w:val="20"/>
          <w:szCs w:val="20"/>
        </w:rPr>
        <w:t xml:space="preserve">” means the net income of the measurement period before: </w:t>
      </w:r>
    </w:p>
    <w:p w14:paraId="2E142AEE" w14:textId="227BC1B8" w:rsidR="000E005D" w:rsidRPr="00690B71" w:rsidRDefault="008E5B56" w:rsidP="00690B71">
      <w:pPr>
        <w:pStyle w:val="ListParagraph"/>
        <w:numPr>
          <w:ilvl w:val="0"/>
          <w:numId w:val="11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 xml:space="preserve">any provision on account of taxation; </w:t>
      </w:r>
    </w:p>
    <w:p w14:paraId="5C5FC23E" w14:textId="5B755E6A" w:rsidR="000E005D" w:rsidRPr="00690B71" w:rsidRDefault="008E5B56" w:rsidP="00690B71">
      <w:pPr>
        <w:pStyle w:val="ListParagraph"/>
        <w:numPr>
          <w:ilvl w:val="0"/>
          <w:numId w:val="11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 xml:space="preserve">any interest, commission, discounts or other fees incurred or payable, received or receivable in respect of financial indebtedness; </w:t>
      </w:r>
    </w:p>
    <w:p w14:paraId="2BDF9903" w14:textId="71A1790D" w:rsidR="000E005D" w:rsidRPr="00690B71" w:rsidRDefault="008E5B56" w:rsidP="00690B71">
      <w:pPr>
        <w:pStyle w:val="ListParagraph"/>
        <w:numPr>
          <w:ilvl w:val="0"/>
          <w:numId w:val="11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i/>
          <w:iCs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 xml:space="preserve">any depreciation and amortisation of tangible and intangible assets; and </w:t>
      </w:r>
    </w:p>
    <w:p w14:paraId="3555D21A" w14:textId="262AE08D" w:rsidR="004E415A" w:rsidRPr="004E415A" w:rsidRDefault="008E5B56" w:rsidP="00690B71">
      <w:pPr>
        <w:pStyle w:val="ListParagraph"/>
        <w:numPr>
          <w:ilvl w:val="0"/>
          <w:numId w:val="11"/>
        </w:numPr>
        <w:tabs>
          <w:tab w:val="left" w:pos="50"/>
        </w:tabs>
        <w:spacing w:after="120" w:line="240" w:lineRule="auto"/>
        <w:ind w:left="1843" w:hanging="709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690B71">
        <w:rPr>
          <w:rFonts w:ascii="Arial" w:hAnsi="Arial" w:cs="Arial"/>
          <w:i/>
          <w:iCs/>
          <w:sz w:val="20"/>
          <w:szCs w:val="20"/>
        </w:rPr>
        <w:t>any re-valuation, disposal or writing off of assets</w:t>
      </w:r>
      <w:r w:rsidR="00A43DB6">
        <w:rPr>
          <w:rFonts w:ascii="Arial" w:hAnsi="Arial" w:cs="Arial"/>
          <w:sz w:val="20"/>
          <w:szCs w:val="20"/>
        </w:rPr>
        <w:t>.”</w:t>
      </w:r>
    </w:p>
    <w:p w14:paraId="2305FD50" w14:textId="77777777" w:rsidR="009C78C4" w:rsidRPr="00503DDE" w:rsidRDefault="009C78C4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D399B0" w14:textId="77777777" w:rsidR="00045737" w:rsidRPr="00503DDE" w:rsidRDefault="00045737" w:rsidP="007D49C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5737" w:rsidRPr="00503DDE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6DBFC" w14:textId="77777777" w:rsidR="00C222A2" w:rsidRDefault="00C222A2" w:rsidP="007D49C0">
      <w:pPr>
        <w:spacing w:after="0" w:line="240" w:lineRule="auto"/>
      </w:pPr>
      <w:r>
        <w:separator/>
      </w:r>
    </w:p>
  </w:endnote>
  <w:endnote w:type="continuationSeparator" w:id="0">
    <w:p w14:paraId="56D472D7" w14:textId="77777777" w:rsidR="00C222A2" w:rsidRDefault="00C222A2" w:rsidP="007D49C0">
      <w:pPr>
        <w:spacing w:after="0" w:line="240" w:lineRule="auto"/>
      </w:pPr>
      <w:r>
        <w:continuationSeparator/>
      </w:r>
    </w:p>
  </w:endnote>
  <w:endnote w:type="continuationNotice" w:id="1">
    <w:p w14:paraId="3F301786" w14:textId="77777777" w:rsidR="00C222A2" w:rsidRDefault="00C22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133C8" w14:textId="77777777" w:rsidR="00C222A2" w:rsidRDefault="00C222A2" w:rsidP="007D49C0">
      <w:pPr>
        <w:spacing w:after="0" w:line="240" w:lineRule="auto"/>
      </w:pPr>
      <w:r>
        <w:separator/>
      </w:r>
    </w:p>
  </w:footnote>
  <w:footnote w:type="continuationSeparator" w:id="0">
    <w:p w14:paraId="4614B7A9" w14:textId="77777777" w:rsidR="00C222A2" w:rsidRDefault="00C222A2" w:rsidP="007D49C0">
      <w:pPr>
        <w:spacing w:after="0" w:line="240" w:lineRule="auto"/>
      </w:pPr>
      <w:r>
        <w:continuationSeparator/>
      </w:r>
    </w:p>
  </w:footnote>
  <w:footnote w:type="continuationNotice" w:id="1">
    <w:p w14:paraId="7B9F475F" w14:textId="77777777" w:rsidR="00C222A2" w:rsidRDefault="00C222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475E"/>
    <w:multiLevelType w:val="hybridMultilevel"/>
    <w:tmpl w:val="32E29A26"/>
    <w:lvl w:ilvl="0" w:tplc="5E2EA4C8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010" w:hanging="360"/>
      </w:pPr>
    </w:lvl>
    <w:lvl w:ilvl="2" w:tplc="F0ACC040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450" w:hanging="360"/>
      </w:pPr>
    </w:lvl>
    <w:lvl w:ilvl="4" w:tplc="04260019" w:tentative="1">
      <w:start w:val="1"/>
      <w:numFmt w:val="lowerLetter"/>
      <w:lvlText w:val="%5."/>
      <w:lvlJc w:val="left"/>
      <w:pPr>
        <w:ind w:left="4170" w:hanging="360"/>
      </w:pPr>
    </w:lvl>
    <w:lvl w:ilvl="5" w:tplc="0426001B" w:tentative="1">
      <w:start w:val="1"/>
      <w:numFmt w:val="lowerRoman"/>
      <w:lvlText w:val="%6."/>
      <w:lvlJc w:val="right"/>
      <w:pPr>
        <w:ind w:left="4890" w:hanging="180"/>
      </w:pPr>
    </w:lvl>
    <w:lvl w:ilvl="6" w:tplc="0426000F" w:tentative="1">
      <w:start w:val="1"/>
      <w:numFmt w:val="decimal"/>
      <w:lvlText w:val="%7."/>
      <w:lvlJc w:val="left"/>
      <w:pPr>
        <w:ind w:left="5610" w:hanging="360"/>
      </w:pPr>
    </w:lvl>
    <w:lvl w:ilvl="7" w:tplc="04260019" w:tentative="1">
      <w:start w:val="1"/>
      <w:numFmt w:val="lowerLetter"/>
      <w:lvlText w:val="%8."/>
      <w:lvlJc w:val="left"/>
      <w:pPr>
        <w:ind w:left="6330" w:hanging="360"/>
      </w:pPr>
    </w:lvl>
    <w:lvl w:ilvl="8" w:tplc="042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189714F5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43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51" w:hanging="360"/>
      </w:pPr>
    </w:lvl>
    <w:lvl w:ilvl="2" w:tplc="FFFFFFFF">
      <w:start w:val="1"/>
      <w:numFmt w:val="lowerRoman"/>
      <w:lvlText w:val="(%3)"/>
      <w:lvlJc w:val="right"/>
      <w:pPr>
        <w:ind w:left="2871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91" w:hanging="360"/>
      </w:pPr>
    </w:lvl>
    <w:lvl w:ilvl="4" w:tplc="FFFFFFFF" w:tentative="1">
      <w:start w:val="1"/>
      <w:numFmt w:val="lowerLetter"/>
      <w:lvlText w:val="%5."/>
      <w:lvlJc w:val="left"/>
      <w:pPr>
        <w:ind w:left="4311" w:hanging="360"/>
      </w:pPr>
    </w:lvl>
    <w:lvl w:ilvl="5" w:tplc="FFFFFFFF" w:tentative="1">
      <w:start w:val="1"/>
      <w:numFmt w:val="lowerRoman"/>
      <w:lvlText w:val="%6."/>
      <w:lvlJc w:val="right"/>
      <w:pPr>
        <w:ind w:left="5031" w:hanging="180"/>
      </w:pPr>
    </w:lvl>
    <w:lvl w:ilvl="6" w:tplc="FFFFFFFF" w:tentative="1">
      <w:start w:val="1"/>
      <w:numFmt w:val="decimal"/>
      <w:lvlText w:val="%7."/>
      <w:lvlJc w:val="left"/>
      <w:pPr>
        <w:ind w:left="5751" w:hanging="360"/>
      </w:pPr>
    </w:lvl>
    <w:lvl w:ilvl="7" w:tplc="FFFFFFFF" w:tentative="1">
      <w:start w:val="1"/>
      <w:numFmt w:val="lowerLetter"/>
      <w:lvlText w:val="%8."/>
      <w:lvlJc w:val="left"/>
      <w:pPr>
        <w:ind w:left="6471" w:hanging="360"/>
      </w:pPr>
    </w:lvl>
    <w:lvl w:ilvl="8" w:tplc="FFFFFFFF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367E4035"/>
    <w:multiLevelType w:val="hybridMultilevel"/>
    <w:tmpl w:val="64C8CBCE"/>
    <w:lvl w:ilvl="0" w:tplc="FB849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E373B"/>
    <w:multiLevelType w:val="hybridMultilevel"/>
    <w:tmpl w:val="1FBE0052"/>
    <w:lvl w:ilvl="0" w:tplc="5E2EA4C8">
      <w:start w:val="1"/>
      <w:numFmt w:val="lowerLetter"/>
      <w:lvlText w:val="(%1)"/>
      <w:lvlJc w:val="left"/>
      <w:pPr>
        <w:ind w:left="98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4" w:hanging="360"/>
      </w:pPr>
    </w:lvl>
    <w:lvl w:ilvl="2" w:tplc="0426001B" w:tentative="1">
      <w:start w:val="1"/>
      <w:numFmt w:val="lowerRoman"/>
      <w:lvlText w:val="%3."/>
      <w:lvlJc w:val="right"/>
      <w:pPr>
        <w:ind w:left="2424" w:hanging="180"/>
      </w:pPr>
    </w:lvl>
    <w:lvl w:ilvl="3" w:tplc="0426000F" w:tentative="1">
      <w:start w:val="1"/>
      <w:numFmt w:val="decimal"/>
      <w:lvlText w:val="%4."/>
      <w:lvlJc w:val="left"/>
      <w:pPr>
        <w:ind w:left="3144" w:hanging="360"/>
      </w:pPr>
    </w:lvl>
    <w:lvl w:ilvl="4" w:tplc="04260019" w:tentative="1">
      <w:start w:val="1"/>
      <w:numFmt w:val="lowerLetter"/>
      <w:lvlText w:val="%5."/>
      <w:lvlJc w:val="left"/>
      <w:pPr>
        <w:ind w:left="3864" w:hanging="360"/>
      </w:pPr>
    </w:lvl>
    <w:lvl w:ilvl="5" w:tplc="0426001B" w:tentative="1">
      <w:start w:val="1"/>
      <w:numFmt w:val="lowerRoman"/>
      <w:lvlText w:val="%6."/>
      <w:lvlJc w:val="right"/>
      <w:pPr>
        <w:ind w:left="4584" w:hanging="180"/>
      </w:pPr>
    </w:lvl>
    <w:lvl w:ilvl="6" w:tplc="0426000F" w:tentative="1">
      <w:start w:val="1"/>
      <w:numFmt w:val="decimal"/>
      <w:lvlText w:val="%7."/>
      <w:lvlJc w:val="left"/>
      <w:pPr>
        <w:ind w:left="5304" w:hanging="360"/>
      </w:pPr>
    </w:lvl>
    <w:lvl w:ilvl="7" w:tplc="04260019" w:tentative="1">
      <w:start w:val="1"/>
      <w:numFmt w:val="lowerLetter"/>
      <w:lvlText w:val="%8."/>
      <w:lvlJc w:val="left"/>
      <w:pPr>
        <w:ind w:left="6024" w:hanging="360"/>
      </w:pPr>
    </w:lvl>
    <w:lvl w:ilvl="8" w:tplc="0426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4A3B0440"/>
    <w:multiLevelType w:val="hybridMultilevel"/>
    <w:tmpl w:val="971E05BE"/>
    <w:lvl w:ilvl="0" w:tplc="DDEA19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0207D"/>
    <w:multiLevelType w:val="multilevel"/>
    <w:tmpl w:val="08EA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E920E2"/>
    <w:multiLevelType w:val="hybridMultilevel"/>
    <w:tmpl w:val="65F6E934"/>
    <w:lvl w:ilvl="0" w:tplc="DDEA19F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53257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72ED408B"/>
    <w:multiLevelType w:val="hybridMultilevel"/>
    <w:tmpl w:val="BBDC64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D7C96"/>
    <w:multiLevelType w:val="hybridMultilevel"/>
    <w:tmpl w:val="6C509178"/>
    <w:lvl w:ilvl="0" w:tplc="8CD8C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A423B"/>
    <w:multiLevelType w:val="hybridMultilevel"/>
    <w:tmpl w:val="32E29A26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10" w:hanging="360"/>
      </w:pPr>
    </w:lvl>
    <w:lvl w:ilvl="2" w:tplc="FFFFFFFF">
      <w:start w:val="1"/>
      <w:numFmt w:val="lowerRoman"/>
      <w:lvlText w:val="(%3)"/>
      <w:lvlJc w:val="right"/>
      <w:pPr>
        <w:ind w:left="273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num w:numId="1" w16cid:durableId="459106129">
    <w:abstractNumId w:val="9"/>
  </w:num>
  <w:num w:numId="2" w16cid:durableId="2142989909">
    <w:abstractNumId w:val="4"/>
  </w:num>
  <w:num w:numId="3" w16cid:durableId="1049378555">
    <w:abstractNumId w:val="6"/>
  </w:num>
  <w:num w:numId="4" w16cid:durableId="985086673">
    <w:abstractNumId w:val="8"/>
  </w:num>
  <w:num w:numId="5" w16cid:durableId="589313840">
    <w:abstractNumId w:val="2"/>
  </w:num>
  <w:num w:numId="6" w16cid:durableId="397752391">
    <w:abstractNumId w:val="5"/>
  </w:num>
  <w:num w:numId="7" w16cid:durableId="1806654406">
    <w:abstractNumId w:val="0"/>
  </w:num>
  <w:num w:numId="8" w16cid:durableId="254674513">
    <w:abstractNumId w:val="3"/>
  </w:num>
  <w:num w:numId="9" w16cid:durableId="731856284">
    <w:abstractNumId w:val="1"/>
  </w:num>
  <w:num w:numId="10" w16cid:durableId="2073000889">
    <w:abstractNumId w:val="7"/>
  </w:num>
  <w:num w:numId="11" w16cid:durableId="418403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8C4"/>
    <w:rsid w:val="00027570"/>
    <w:rsid w:val="00045737"/>
    <w:rsid w:val="00080346"/>
    <w:rsid w:val="000B3E49"/>
    <w:rsid w:val="000D4049"/>
    <w:rsid w:val="000D52E7"/>
    <w:rsid w:val="000E005D"/>
    <w:rsid w:val="000E6CB4"/>
    <w:rsid w:val="00121E20"/>
    <w:rsid w:val="001457BE"/>
    <w:rsid w:val="00167159"/>
    <w:rsid w:val="00167877"/>
    <w:rsid w:val="001C48E2"/>
    <w:rsid w:val="001E766E"/>
    <w:rsid w:val="001F4709"/>
    <w:rsid w:val="001F58DE"/>
    <w:rsid w:val="00231742"/>
    <w:rsid w:val="0024113A"/>
    <w:rsid w:val="00252653"/>
    <w:rsid w:val="002669A3"/>
    <w:rsid w:val="002711B3"/>
    <w:rsid w:val="00282D2E"/>
    <w:rsid w:val="002E3380"/>
    <w:rsid w:val="002E699E"/>
    <w:rsid w:val="00301B26"/>
    <w:rsid w:val="00323B35"/>
    <w:rsid w:val="003362B4"/>
    <w:rsid w:val="0038185C"/>
    <w:rsid w:val="00387AA7"/>
    <w:rsid w:val="003A0563"/>
    <w:rsid w:val="003A06BF"/>
    <w:rsid w:val="003A2448"/>
    <w:rsid w:val="003A24C4"/>
    <w:rsid w:val="003F433F"/>
    <w:rsid w:val="003F794C"/>
    <w:rsid w:val="00435DD0"/>
    <w:rsid w:val="0048252B"/>
    <w:rsid w:val="004B0EBE"/>
    <w:rsid w:val="004C15EB"/>
    <w:rsid w:val="004D0721"/>
    <w:rsid w:val="004E11A7"/>
    <w:rsid w:val="004E415A"/>
    <w:rsid w:val="00503DDE"/>
    <w:rsid w:val="005430BF"/>
    <w:rsid w:val="005439CE"/>
    <w:rsid w:val="00547903"/>
    <w:rsid w:val="00573D72"/>
    <w:rsid w:val="00587AA2"/>
    <w:rsid w:val="005B0574"/>
    <w:rsid w:val="005C2585"/>
    <w:rsid w:val="005F42C6"/>
    <w:rsid w:val="0061374E"/>
    <w:rsid w:val="00616A12"/>
    <w:rsid w:val="00635AFE"/>
    <w:rsid w:val="00681526"/>
    <w:rsid w:val="00682F1F"/>
    <w:rsid w:val="00690B71"/>
    <w:rsid w:val="00753874"/>
    <w:rsid w:val="00756CE4"/>
    <w:rsid w:val="007D49C0"/>
    <w:rsid w:val="007E48FD"/>
    <w:rsid w:val="007F34EC"/>
    <w:rsid w:val="00845605"/>
    <w:rsid w:val="00862E34"/>
    <w:rsid w:val="008E5B56"/>
    <w:rsid w:val="008F2FB3"/>
    <w:rsid w:val="00996036"/>
    <w:rsid w:val="009B1F77"/>
    <w:rsid w:val="009C16ED"/>
    <w:rsid w:val="009C78C4"/>
    <w:rsid w:val="009D68C1"/>
    <w:rsid w:val="009F50D5"/>
    <w:rsid w:val="00A05FD7"/>
    <w:rsid w:val="00A31D37"/>
    <w:rsid w:val="00A33AA1"/>
    <w:rsid w:val="00A36B9A"/>
    <w:rsid w:val="00A43DB6"/>
    <w:rsid w:val="00A43FDE"/>
    <w:rsid w:val="00A46C4A"/>
    <w:rsid w:val="00A506B1"/>
    <w:rsid w:val="00A53989"/>
    <w:rsid w:val="00A76E61"/>
    <w:rsid w:val="00A778F2"/>
    <w:rsid w:val="00AF5FD4"/>
    <w:rsid w:val="00B02294"/>
    <w:rsid w:val="00B054BC"/>
    <w:rsid w:val="00B36021"/>
    <w:rsid w:val="00B41BE5"/>
    <w:rsid w:val="00B72F14"/>
    <w:rsid w:val="00B821CE"/>
    <w:rsid w:val="00B9251F"/>
    <w:rsid w:val="00B92AE5"/>
    <w:rsid w:val="00B92E8C"/>
    <w:rsid w:val="00BA17D3"/>
    <w:rsid w:val="00BB5A8E"/>
    <w:rsid w:val="00BE13DF"/>
    <w:rsid w:val="00BF1CDA"/>
    <w:rsid w:val="00C013B5"/>
    <w:rsid w:val="00C222A2"/>
    <w:rsid w:val="00CC7EF3"/>
    <w:rsid w:val="00D05F1B"/>
    <w:rsid w:val="00D4246A"/>
    <w:rsid w:val="00D91F39"/>
    <w:rsid w:val="00DC4644"/>
    <w:rsid w:val="00DE100F"/>
    <w:rsid w:val="00DF0AFA"/>
    <w:rsid w:val="00E0349E"/>
    <w:rsid w:val="00E11959"/>
    <w:rsid w:val="00E21359"/>
    <w:rsid w:val="00E769D8"/>
    <w:rsid w:val="00E805B7"/>
    <w:rsid w:val="00EB25F4"/>
    <w:rsid w:val="00EC2B24"/>
    <w:rsid w:val="00EC6BE1"/>
    <w:rsid w:val="00ED12C2"/>
    <w:rsid w:val="00F102D5"/>
    <w:rsid w:val="00FA0386"/>
    <w:rsid w:val="00FA3C0D"/>
    <w:rsid w:val="00FB69AA"/>
    <w:rsid w:val="00FC0483"/>
    <w:rsid w:val="00FD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01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C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78C4"/>
    <w:pPr>
      <w:ind w:left="720"/>
      <w:contextualSpacing/>
    </w:pPr>
  </w:style>
  <w:style w:type="character" w:customStyle="1" w:styleId="Other">
    <w:name w:val="Other_"/>
    <w:basedOn w:val="DefaultParagraphFont"/>
    <w:link w:val="Other0"/>
    <w:rsid w:val="009C78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9C78C4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 w:cs="Times New Roman"/>
      <w:lang w:val="lv-LV"/>
    </w:rPr>
  </w:style>
  <w:style w:type="character" w:customStyle="1" w:styleId="BodyTextChar">
    <w:name w:val="Body Text Char"/>
    <w:basedOn w:val="DefaultParagraphFont"/>
    <w:link w:val="BodyText"/>
    <w:rsid w:val="009C78C4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rsid w:val="009C78C4"/>
    <w:pPr>
      <w:widowControl w:val="0"/>
      <w:shd w:val="clear" w:color="auto" w:fill="FFFFFF"/>
      <w:spacing w:after="260" w:line="240" w:lineRule="auto"/>
      <w:jc w:val="both"/>
    </w:pPr>
    <w:rPr>
      <w:rFonts w:ascii="Times New Roman" w:eastAsia="Times New Roman" w:hAnsi="Times New Roman" w:cs="Times New Roman"/>
      <w:lang w:val="lv-LV"/>
    </w:rPr>
  </w:style>
  <w:style w:type="character" w:customStyle="1" w:styleId="BodyTextChar1">
    <w:name w:val="Body Text Char1"/>
    <w:basedOn w:val="DefaultParagraphFont"/>
    <w:uiPriority w:val="99"/>
    <w:semiHidden/>
    <w:rsid w:val="009C78C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D4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9C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9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9C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21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3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D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D72"/>
    <w:rPr>
      <w:b/>
      <w:bCs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73D72"/>
    <w:rPr>
      <w:lang w:val="en-GB"/>
    </w:rPr>
  </w:style>
  <w:style w:type="paragraph" w:styleId="Revision">
    <w:name w:val="Revision"/>
    <w:hidden/>
    <w:uiPriority w:val="99"/>
    <w:semiHidden/>
    <w:rsid w:val="00635AF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7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57a005-5e78-4b43-8274-3d12bb9bc5b7" xsi:nil="true"/>
    <DocumentDate xmlns="b2b671b1-b1e8-45fd-8373-87307918b7ed" xsi:nil="true"/>
    <VersionComments xmlns="b2b671b1-b1e8-45fd-8373-87307918b7ed" xsi:nil="true"/>
    <lcf76f155ced4ddcb4097134ff3c332f xmlns="b2b671b1-b1e8-45fd-8373-87307918b7e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C7D2AFB1579A40868AE3FAB95B3A8B" ma:contentTypeVersion="17" ma:contentTypeDescription="Create a new document." ma:contentTypeScope="" ma:versionID="59e5d802d25e5e2365a59a264ec010f6">
  <xsd:schema xmlns:xsd="http://www.w3.org/2001/XMLSchema" xmlns:xs="http://www.w3.org/2001/XMLSchema" xmlns:p="http://schemas.microsoft.com/office/2006/metadata/properties" xmlns:ns2="b2b671b1-b1e8-45fd-8373-87307918b7ed" xmlns:ns3="d557a005-5e78-4b43-8274-3d12bb9bc5b7" targetNamespace="http://schemas.microsoft.com/office/2006/metadata/properties" ma:root="true" ma:fieldsID="eee36e78e330496b90a45fae5be6966b" ns2:_="" ns3:_="">
    <xsd:import namespace="b2b671b1-b1e8-45fd-8373-87307918b7ed"/>
    <xsd:import namespace="d557a005-5e78-4b43-8274-3d12bb9bc5b7"/>
    <xsd:element name="properties">
      <xsd:complexType>
        <xsd:sequence>
          <xsd:element name="documentManagement">
            <xsd:complexType>
              <xsd:all>
                <xsd:element ref="ns2:DocumentDate" minOccurs="0"/>
                <xsd:element ref="ns2:VersionComment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671b1-b1e8-45fd-8373-87307918b7ed" elementFormDefault="qualified">
    <xsd:import namespace="http://schemas.microsoft.com/office/2006/documentManagement/types"/>
    <xsd:import namespace="http://schemas.microsoft.com/office/infopath/2007/PartnerControls"/>
    <xsd:element name="DocumentDate" ma:index="1" nillable="true" ma:displayName="Document Date" ma:default="[today]" ma:format="DateOnly" ma:internalName="DocumentDate">
      <xsd:simpleType>
        <xsd:restriction base="dms:DateTime"/>
      </xsd:simpleType>
    </xsd:element>
    <xsd:element name="VersionComments" ma:index="2" nillable="true" ma:displayName="Version Comments" ma:format="Dropdown" ma:internalName="VersionComment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88db7ac-dabb-487d-99cf-287c4a3c0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a005-5e78-4b43-8274-3d12bb9bc5b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cd58b3c-31df-4c09-9df9-b369c0d43698}" ma:internalName="TaxCatchAll" ma:readOnly="false" ma:showField="CatchAllData" ma:web="d557a005-5e78-4b43-8274-3d12bb9bc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127C1-820E-4DA5-8DE4-D345303E5C84}">
  <ds:schemaRefs>
    <ds:schemaRef ds:uri="http://schemas.microsoft.com/office/2006/metadata/properties"/>
    <ds:schemaRef ds:uri="http://schemas.microsoft.com/office/infopath/2007/PartnerControls"/>
    <ds:schemaRef ds:uri="d557a005-5e78-4b43-8274-3d12bb9bc5b7"/>
    <ds:schemaRef ds:uri="b2b671b1-b1e8-45fd-8373-87307918b7ed"/>
  </ds:schemaRefs>
</ds:datastoreItem>
</file>

<file path=customXml/itemProps2.xml><?xml version="1.0" encoding="utf-8"?>
<ds:datastoreItem xmlns:ds="http://schemas.openxmlformats.org/officeDocument/2006/customXml" ds:itemID="{49ECD2F3-523B-4D19-84E7-F8AB0FF09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9FE8F7-61BF-4F33-A01F-439883AE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671b1-b1e8-45fd-8373-87307918b7ed"/>
    <ds:schemaRef ds:uri="d557a005-5e78-4b43-8274-3d12bb9bc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2022-02-02T19:52:00Z</dcterms:created>
  <dcterms:modified xsi:type="dcterms:W3CDTF">2024-08-08T21:43:00Z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0x010100BFC7D2AFB1579A40868AE3FAB95B3A8B</vt:lpwstr>
  </property>
  <property fmtid="{D5CDD505-2E9C-101B-9397-08002B2CF9AE}" pid="3" name="MediaServiceImageTags">
    <vt:lpwstr/>
  </property>
</Properties>
</file>