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3726B" w14:textId="71C990A0" w:rsidR="00DE64BD" w:rsidRDefault="00DE64BD" w:rsidP="008E1FD2">
      <w:pPr>
        <w:pStyle w:val="ListParagraph"/>
        <w:spacing w:after="0" w:line="240" w:lineRule="auto"/>
        <w:ind w:left="0"/>
        <w:contextualSpacing w:val="0"/>
        <w:jc w:val="center"/>
        <w:rPr>
          <w:rStyle w:val="FontStyle58"/>
          <w:rFonts w:ascii="Arial" w:hAnsi="Arial" w:cs="Arial"/>
          <w:b/>
          <w:sz w:val="20"/>
          <w:szCs w:val="20"/>
          <w:lang w:val="en-GB"/>
        </w:rPr>
      </w:pPr>
      <w:r>
        <w:rPr>
          <w:rStyle w:val="FontStyle58"/>
          <w:rFonts w:ascii="Arial" w:hAnsi="Arial" w:cs="Arial"/>
          <w:b/>
          <w:sz w:val="20"/>
          <w:szCs w:val="20"/>
          <w:lang w:val="en-GB"/>
        </w:rPr>
        <w:t>2. PIELIKUMS</w:t>
      </w:r>
    </w:p>
    <w:p w14:paraId="246C6B62" w14:textId="77777777" w:rsidR="00DE64BD" w:rsidRDefault="00DE64BD" w:rsidP="008E1FD2">
      <w:pPr>
        <w:pStyle w:val="ListParagraph"/>
        <w:spacing w:after="0" w:line="240" w:lineRule="auto"/>
        <w:ind w:left="0"/>
        <w:contextualSpacing w:val="0"/>
        <w:jc w:val="center"/>
        <w:rPr>
          <w:rStyle w:val="FontStyle58"/>
          <w:rFonts w:ascii="Arial" w:hAnsi="Arial" w:cs="Arial"/>
          <w:b/>
          <w:sz w:val="20"/>
          <w:szCs w:val="20"/>
          <w:lang w:val="en-GB"/>
        </w:rPr>
      </w:pPr>
    </w:p>
    <w:p w14:paraId="4174E262" w14:textId="0B1D5AD9" w:rsidR="002230D8" w:rsidRPr="00DE64BD" w:rsidRDefault="00DE64BD" w:rsidP="00DE64BD">
      <w:pPr>
        <w:pStyle w:val="ListParagraph"/>
        <w:spacing w:after="0" w:line="240" w:lineRule="auto"/>
        <w:ind w:left="0"/>
        <w:contextualSpacing w:val="0"/>
        <w:jc w:val="center"/>
        <w:rPr>
          <w:rStyle w:val="FontStyle58"/>
          <w:rFonts w:ascii="Arial" w:hAnsi="Arial" w:cs="Arial"/>
          <w:b/>
          <w:sz w:val="20"/>
          <w:szCs w:val="20"/>
          <w:lang w:val="en-GB"/>
        </w:rPr>
      </w:pPr>
      <w:r>
        <w:rPr>
          <w:rStyle w:val="FontStyle58"/>
          <w:rFonts w:ascii="Arial" w:hAnsi="Arial" w:cs="Arial"/>
          <w:b/>
          <w:sz w:val="20"/>
          <w:szCs w:val="20"/>
          <w:lang w:val="en-GB"/>
        </w:rPr>
        <w:t>BALSOŠANAS VEIDLAPA</w:t>
      </w:r>
    </w:p>
    <w:p w14:paraId="77CFB18F" w14:textId="77777777" w:rsidR="002230D8" w:rsidRDefault="002230D8" w:rsidP="008E1FD2">
      <w:pPr>
        <w:pStyle w:val="ListParagraph"/>
        <w:spacing w:after="0" w:line="240" w:lineRule="auto"/>
        <w:ind w:left="0"/>
        <w:contextualSpacing w:val="0"/>
        <w:jc w:val="center"/>
        <w:rPr>
          <w:rStyle w:val="FontStyle58"/>
          <w:rFonts w:ascii="Arial" w:hAnsi="Arial" w:cs="Arial"/>
          <w:b/>
          <w:sz w:val="20"/>
          <w:szCs w:val="20"/>
          <w:lang w:val="en-GB"/>
        </w:rPr>
      </w:pPr>
      <w:bookmarkStart w:id="0" w:name="_Hlk167798341"/>
    </w:p>
    <w:p w14:paraId="01B3E96A" w14:textId="1E41B736" w:rsidR="001D0717" w:rsidRPr="00F5328A" w:rsidRDefault="001D0717" w:rsidP="008E1FD2">
      <w:pPr>
        <w:pStyle w:val="ListParagraph"/>
        <w:spacing w:after="0" w:line="240" w:lineRule="auto"/>
        <w:ind w:left="0"/>
        <w:contextualSpacing w:val="0"/>
        <w:jc w:val="center"/>
        <w:rPr>
          <w:rStyle w:val="FontStyle58"/>
          <w:rFonts w:ascii="Arial" w:hAnsi="Arial" w:cs="Arial"/>
          <w:b/>
          <w:sz w:val="20"/>
          <w:szCs w:val="20"/>
          <w:lang w:val="en-GB" w:eastAsia="lv-LV" w:bidi="lv-LV"/>
        </w:rPr>
      </w:pPr>
      <w:r w:rsidRPr="00F5328A">
        <w:rPr>
          <w:rStyle w:val="FontStyle58"/>
          <w:rFonts w:ascii="Arial" w:hAnsi="Arial" w:cs="Arial"/>
          <w:b/>
          <w:sz w:val="20"/>
          <w:szCs w:val="20"/>
          <w:lang w:val="en-GB"/>
        </w:rPr>
        <w:t>(</w:t>
      </w:r>
      <w:r w:rsidR="002230D8" w:rsidRPr="00F5328A">
        <w:rPr>
          <w:rFonts w:ascii="Arial" w:hAnsi="Arial" w:cs="Arial"/>
          <w:b/>
          <w:color w:val="000000"/>
          <w:sz w:val="20"/>
          <w:szCs w:val="20"/>
          <w:lang w:val="lv-LV" w:eastAsia="lv-LV" w:bidi="lv-LV"/>
        </w:rPr>
        <w:t xml:space="preserve">grozījumi AS “Storent Holding” 2023. gada 25. maija </w:t>
      </w:r>
      <w:r w:rsidR="00A95843" w:rsidRPr="00F5328A">
        <w:rPr>
          <w:rFonts w:ascii="Arial" w:hAnsi="Arial" w:cs="Arial"/>
          <w:b/>
          <w:color w:val="000000"/>
          <w:sz w:val="20"/>
          <w:szCs w:val="20"/>
          <w:lang w:val="lv-LV" w:eastAsia="lv-LV" w:bidi="lv-LV"/>
        </w:rPr>
        <w:t>P</w:t>
      </w:r>
      <w:r w:rsidR="002230D8" w:rsidRPr="00F5328A">
        <w:rPr>
          <w:rFonts w:ascii="Arial" w:hAnsi="Arial" w:cs="Arial"/>
          <w:b/>
          <w:color w:val="000000"/>
          <w:sz w:val="20"/>
          <w:szCs w:val="20"/>
          <w:lang w:val="lv-LV" w:eastAsia="lv-LV" w:bidi="lv-LV"/>
        </w:rPr>
        <w:t xml:space="preserve">amatprospektā un tā 2024. gada 21. februāra papildinājumā </w:t>
      </w:r>
      <w:r w:rsidR="001C386E">
        <w:rPr>
          <w:rFonts w:ascii="Arial" w:hAnsi="Arial" w:cs="Arial"/>
          <w:b/>
          <w:color w:val="000000"/>
          <w:sz w:val="20"/>
          <w:szCs w:val="20"/>
          <w:lang w:val="lv-LV" w:eastAsia="lv-LV" w:bidi="lv-LV"/>
        </w:rPr>
        <w:t>ietvertajos</w:t>
      </w:r>
      <w:r w:rsidR="002230D8" w:rsidRPr="00F5328A">
        <w:rPr>
          <w:rFonts w:ascii="Arial" w:hAnsi="Arial" w:cs="Arial"/>
          <w:b/>
          <w:color w:val="000000"/>
          <w:sz w:val="20"/>
          <w:szCs w:val="20"/>
          <w:lang w:val="lv-LV" w:eastAsia="lv-LV" w:bidi="lv-LV"/>
        </w:rPr>
        <w:t xml:space="preserve"> </w:t>
      </w:r>
      <w:r w:rsidR="00462671" w:rsidRPr="00F5328A">
        <w:rPr>
          <w:rFonts w:ascii="Arial" w:hAnsi="Arial" w:cs="Arial"/>
          <w:b/>
          <w:color w:val="000000"/>
          <w:sz w:val="20"/>
          <w:szCs w:val="20"/>
          <w:lang w:val="lv-LV" w:eastAsia="lv-LV" w:bidi="lv-LV"/>
        </w:rPr>
        <w:t xml:space="preserve">Obligāciju </w:t>
      </w:r>
      <w:r w:rsidR="002230D8" w:rsidRPr="00F5328A">
        <w:rPr>
          <w:rFonts w:ascii="Arial" w:hAnsi="Arial" w:cs="Arial"/>
          <w:b/>
          <w:color w:val="000000"/>
          <w:sz w:val="20"/>
          <w:szCs w:val="20"/>
          <w:lang w:val="lv-LV" w:eastAsia="lv-LV" w:bidi="lv-LV"/>
        </w:rPr>
        <w:t>noteikumos</w:t>
      </w:r>
      <w:r w:rsidR="00FA68F5">
        <w:rPr>
          <w:rFonts w:ascii="Arial" w:hAnsi="Arial" w:cs="Arial"/>
          <w:b/>
          <w:color w:val="000000"/>
          <w:sz w:val="20"/>
          <w:szCs w:val="20"/>
          <w:lang w:val="lv-LV" w:eastAsia="lv-LV" w:bidi="lv-LV"/>
        </w:rPr>
        <w:t>)</w:t>
      </w:r>
      <w:r w:rsidR="002230D8" w:rsidRPr="00F5328A">
        <w:rPr>
          <w:rFonts w:ascii="Arial" w:hAnsi="Arial" w:cs="Arial"/>
          <w:b/>
          <w:color w:val="000000"/>
          <w:sz w:val="20"/>
          <w:szCs w:val="20"/>
          <w:lang w:val="lv-LV" w:eastAsia="lv-LV" w:bidi="lv-LV"/>
        </w:rPr>
        <w:t xml:space="preserve"> (ISIN LV0000850089 un ISIN LV0000850345)</w:t>
      </w:r>
    </w:p>
    <w:bookmarkEnd w:id="0"/>
    <w:p w14:paraId="6E0E2DF2" w14:textId="77777777" w:rsidR="00C761B4" w:rsidRPr="00FB6803" w:rsidRDefault="00C761B4" w:rsidP="008E1FD2">
      <w:pPr>
        <w:spacing w:after="0" w:line="240" w:lineRule="auto"/>
        <w:jc w:val="both"/>
        <w:rPr>
          <w:rStyle w:val="FontStyle58"/>
          <w:rFonts w:ascii="Arial" w:hAnsi="Arial" w:cs="Arial"/>
          <w:i/>
          <w:sz w:val="20"/>
          <w:szCs w:val="20"/>
          <w:lang w:val="en-GB"/>
        </w:rPr>
      </w:pPr>
    </w:p>
    <w:tbl>
      <w:tblPr>
        <w:tblStyle w:val="TableGrid"/>
        <w:tblW w:w="4947" w:type="pct"/>
        <w:tblInd w:w="108" w:type="dxa"/>
        <w:tblLook w:val="04A0" w:firstRow="1" w:lastRow="0" w:firstColumn="1" w:lastColumn="0" w:noHBand="0" w:noVBand="1"/>
      </w:tblPr>
      <w:tblGrid>
        <w:gridCol w:w="4673"/>
        <w:gridCol w:w="5351"/>
      </w:tblGrid>
      <w:tr w:rsidR="00C761B4" w:rsidRPr="00FB6803" w14:paraId="4DD41768" w14:textId="77777777" w:rsidTr="00D165DA">
        <w:tc>
          <w:tcPr>
            <w:tcW w:w="2331" w:type="pct"/>
            <w:shd w:val="clear" w:color="auto" w:fill="E7E6E6" w:themeFill="background2"/>
            <w:vAlign w:val="center"/>
          </w:tcPr>
          <w:p w14:paraId="31057DBA" w14:textId="054C001D" w:rsidR="008E1FD2" w:rsidRPr="00707CC3" w:rsidRDefault="002534FB" w:rsidP="008E1FD2">
            <w:pPr>
              <w:pStyle w:val="ListParagraph"/>
              <w:ind w:left="0"/>
              <w:contextualSpacing w:val="0"/>
              <w:jc w:val="both"/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D165DA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>Firma (juridisk</w:t>
            </w:r>
            <w:r w:rsidR="00707CC3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>ajā</w:t>
            </w:r>
            <w:r w:rsidRPr="00D165DA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>m personām) vai vārds, uzvārds (</w:t>
            </w:r>
            <w:r w:rsidR="00707CC3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>fiziskajām personām</w:t>
            </w:r>
            <w:r w:rsidRPr="00D165DA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>):</w:t>
            </w:r>
          </w:p>
        </w:tc>
        <w:tc>
          <w:tcPr>
            <w:tcW w:w="2669" w:type="pct"/>
            <w:vAlign w:val="center"/>
          </w:tcPr>
          <w:p w14:paraId="3AB506D6" w14:textId="77777777" w:rsidR="00C761B4" w:rsidRPr="00FB6803" w:rsidRDefault="00C761B4" w:rsidP="008E1FD2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761B4" w:rsidRPr="00FB6803" w14:paraId="41780DA1" w14:textId="77777777" w:rsidTr="00D165DA">
        <w:tc>
          <w:tcPr>
            <w:tcW w:w="2331" w:type="pct"/>
            <w:shd w:val="clear" w:color="auto" w:fill="E7E6E6" w:themeFill="background2"/>
            <w:vAlign w:val="center"/>
          </w:tcPr>
          <w:p w14:paraId="5C92DE8D" w14:textId="2DBAF93E" w:rsidR="008E1FD2" w:rsidRPr="00707CC3" w:rsidRDefault="002534FB" w:rsidP="008E1FD2">
            <w:pPr>
              <w:pStyle w:val="ListParagraph"/>
              <w:ind w:left="0"/>
              <w:contextualSpacing w:val="0"/>
              <w:jc w:val="both"/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D165DA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>Reģistrācijas numurs (juridisk</w:t>
            </w:r>
            <w:r w:rsidR="00707CC3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>ajā</w:t>
            </w:r>
            <w:r w:rsidRPr="00D165DA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>m personām) vai dzimšanas datums</w:t>
            </w:r>
            <w:r w:rsidR="008A4056" w:rsidRPr="00D165DA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 xml:space="preserve"> </w:t>
            </w:r>
            <w:r w:rsidRPr="00D165DA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>/ personas kods (</w:t>
            </w:r>
            <w:r w:rsidR="00DB5A0B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>fiziskajām personām</w:t>
            </w:r>
            <w:r w:rsidRPr="00D165DA">
              <w:rPr>
                <w:rStyle w:val="FontStyle58"/>
                <w:rFonts w:ascii="Arial" w:hAnsi="Arial" w:cs="Arial"/>
                <w:b/>
                <w:sz w:val="20"/>
                <w:szCs w:val="20"/>
                <w:lang w:val="lv-LV"/>
              </w:rPr>
              <w:t>):</w:t>
            </w:r>
          </w:p>
        </w:tc>
        <w:tc>
          <w:tcPr>
            <w:tcW w:w="2669" w:type="pct"/>
            <w:vAlign w:val="center"/>
          </w:tcPr>
          <w:p w14:paraId="0970A509" w14:textId="77777777" w:rsidR="00C761B4" w:rsidRPr="00FB6803" w:rsidRDefault="00C761B4" w:rsidP="008E1FD2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761B4" w:rsidRPr="00FB6803" w14:paraId="042020A6" w14:textId="77777777" w:rsidTr="00D165DA">
        <w:tc>
          <w:tcPr>
            <w:tcW w:w="2331" w:type="pct"/>
            <w:shd w:val="clear" w:color="auto" w:fill="E7E6E6" w:themeFill="background2"/>
            <w:vAlign w:val="center"/>
          </w:tcPr>
          <w:p w14:paraId="56F4AADB" w14:textId="57A2D6EF" w:rsidR="008E1FD2" w:rsidRPr="00D165DA" w:rsidRDefault="002534FB" w:rsidP="008E1FD2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Telefona numurs:</w:t>
            </w:r>
          </w:p>
        </w:tc>
        <w:tc>
          <w:tcPr>
            <w:tcW w:w="2669" w:type="pct"/>
            <w:vAlign w:val="center"/>
          </w:tcPr>
          <w:p w14:paraId="034B8B00" w14:textId="77777777" w:rsidR="00C761B4" w:rsidRPr="00FB6803" w:rsidRDefault="00C761B4" w:rsidP="008E1FD2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761B4" w:rsidRPr="00FB6803" w14:paraId="574B1402" w14:textId="77777777" w:rsidTr="00D165DA">
        <w:tc>
          <w:tcPr>
            <w:tcW w:w="2331" w:type="pct"/>
            <w:shd w:val="clear" w:color="auto" w:fill="E7E6E6" w:themeFill="background2"/>
            <w:vAlign w:val="center"/>
          </w:tcPr>
          <w:p w14:paraId="5F9122C6" w14:textId="30FCBC61" w:rsidR="008E1FD2" w:rsidRPr="00D165DA" w:rsidRDefault="002534FB" w:rsidP="008E1FD2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E-pasts:</w:t>
            </w:r>
          </w:p>
        </w:tc>
        <w:tc>
          <w:tcPr>
            <w:tcW w:w="2669" w:type="pct"/>
            <w:vAlign w:val="center"/>
          </w:tcPr>
          <w:p w14:paraId="5DEFE5AD" w14:textId="77777777" w:rsidR="00C761B4" w:rsidRPr="00FB6803" w:rsidRDefault="00C761B4" w:rsidP="008E1FD2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761B4" w:rsidRPr="00FB6803" w14:paraId="60E3FEC2" w14:textId="77777777" w:rsidTr="00D165DA">
        <w:tc>
          <w:tcPr>
            <w:tcW w:w="2331" w:type="pct"/>
            <w:shd w:val="clear" w:color="auto" w:fill="E7E6E6" w:themeFill="background2"/>
            <w:vAlign w:val="center"/>
          </w:tcPr>
          <w:p w14:paraId="764B7BB9" w14:textId="0DFDC8C8" w:rsidR="008E1FD2" w:rsidRPr="00D165DA" w:rsidRDefault="002534FB" w:rsidP="008E1FD2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Pārstāvja vārds, uzvārds, dzimšanas datums</w:t>
            </w:r>
            <w:r w:rsidR="00DB5A0B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</w:t>
            </w: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/ personas kods (tikai juridisk</w:t>
            </w:r>
            <w:r w:rsidR="00DB5A0B">
              <w:rPr>
                <w:rFonts w:ascii="Arial" w:hAnsi="Arial" w:cs="Arial"/>
                <w:b/>
                <w:sz w:val="20"/>
                <w:szCs w:val="20"/>
                <w:lang w:val="lv-LV"/>
              </w:rPr>
              <w:t>ajā</w:t>
            </w: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m personām): </w:t>
            </w:r>
            <w:r w:rsidR="00C761B4"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2669" w:type="pct"/>
            <w:vAlign w:val="center"/>
          </w:tcPr>
          <w:p w14:paraId="48D650BB" w14:textId="77777777" w:rsidR="00C761B4" w:rsidRPr="00FB6803" w:rsidRDefault="00C761B4" w:rsidP="008E1FD2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838E2" w:rsidRPr="00FB6803" w14:paraId="49C44305" w14:textId="77777777" w:rsidTr="00D165DA">
        <w:tc>
          <w:tcPr>
            <w:tcW w:w="2331" w:type="pct"/>
            <w:shd w:val="clear" w:color="auto" w:fill="E7E6E6" w:themeFill="background2"/>
            <w:vAlign w:val="center"/>
          </w:tcPr>
          <w:p w14:paraId="25B136BD" w14:textId="2F7A20ED" w:rsidR="008E1FD2" w:rsidRPr="00D165DA" w:rsidRDefault="002534FB" w:rsidP="008E1FD2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Citu pārstāvju e-pasts(-i) (tikai juridisk</w:t>
            </w:r>
            <w:r w:rsidR="00AF3482">
              <w:rPr>
                <w:rFonts w:ascii="Arial" w:hAnsi="Arial" w:cs="Arial"/>
                <w:b/>
                <w:sz w:val="20"/>
                <w:szCs w:val="20"/>
                <w:lang w:val="lv-LV"/>
              </w:rPr>
              <w:t>aj</w:t>
            </w: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ām personām ar kopīgas pārstāvības tiesībām):</w:t>
            </w:r>
          </w:p>
        </w:tc>
        <w:tc>
          <w:tcPr>
            <w:tcW w:w="2669" w:type="pct"/>
            <w:vAlign w:val="center"/>
          </w:tcPr>
          <w:p w14:paraId="1A8DB778" w14:textId="77777777" w:rsidR="002838E2" w:rsidRPr="00FB6803" w:rsidRDefault="002838E2" w:rsidP="008E1FD2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761B4" w:rsidRPr="00FB6803" w14:paraId="56FA7179" w14:textId="77777777" w:rsidTr="00D165DA">
        <w:tc>
          <w:tcPr>
            <w:tcW w:w="2331" w:type="pct"/>
            <w:shd w:val="clear" w:color="auto" w:fill="E7E6E6" w:themeFill="background2"/>
            <w:vAlign w:val="center"/>
          </w:tcPr>
          <w:p w14:paraId="094BFB26" w14:textId="1116F1AF" w:rsidR="008E1FD2" w:rsidRPr="00D165DA" w:rsidRDefault="002534FB" w:rsidP="008E1FD2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Statuss (piemēram, </w:t>
            </w:r>
            <w:r w:rsidR="008A4056"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Obligacionārs</w:t>
            </w: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, </w:t>
            </w:r>
            <w:r w:rsidR="008A4056"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Obligacionāra </w:t>
            </w: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likum</w:t>
            </w:r>
            <w:r w:rsidR="006F24F8">
              <w:rPr>
                <w:rFonts w:ascii="Arial" w:hAnsi="Arial" w:cs="Arial"/>
                <w:b/>
                <w:sz w:val="20"/>
                <w:szCs w:val="20"/>
                <w:lang w:val="lv-LV"/>
              </w:rPr>
              <w:t>iskais</w:t>
            </w: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pārstāvis, aizbildnis, cits (norādīt))</w:t>
            </w:r>
            <w:r w:rsidR="008A4056"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*</w:t>
            </w: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:</w:t>
            </w:r>
          </w:p>
        </w:tc>
        <w:tc>
          <w:tcPr>
            <w:tcW w:w="2669" w:type="pct"/>
            <w:vAlign w:val="center"/>
          </w:tcPr>
          <w:p w14:paraId="42EE9C99" w14:textId="77777777" w:rsidR="00C761B4" w:rsidRPr="00FB6803" w:rsidRDefault="00C761B4" w:rsidP="008E1FD2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213E9" w:rsidRPr="00FB6803" w14:paraId="0F81B771" w14:textId="77777777" w:rsidTr="00D165DA">
        <w:tc>
          <w:tcPr>
            <w:tcW w:w="2331" w:type="pct"/>
            <w:shd w:val="clear" w:color="auto" w:fill="E7E6E6" w:themeFill="background2"/>
            <w:vAlign w:val="center"/>
          </w:tcPr>
          <w:p w14:paraId="60E00B44" w14:textId="08BFB448" w:rsidR="002534FB" w:rsidRPr="00D165DA" w:rsidRDefault="00542639" w:rsidP="008E1FD2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Obligacionāra t</w:t>
            </w:r>
            <w:r w:rsidR="002534FB"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urēto Obligāciju </w:t>
            </w:r>
            <w:r w:rsidR="008E1FD2"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ar </w:t>
            </w:r>
            <w:r w:rsidR="002534FB"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ISIN LV0000850089 </w:t>
            </w:r>
            <w:r w:rsidR="00A35C3C">
              <w:rPr>
                <w:rFonts w:ascii="Arial" w:hAnsi="Arial" w:cs="Arial"/>
                <w:b/>
                <w:sz w:val="20"/>
                <w:szCs w:val="20"/>
                <w:lang w:val="lv-LV"/>
              </w:rPr>
              <w:t>(</w:t>
            </w:r>
            <w:r w:rsidR="00914483" w:rsidRPr="004D2966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STOH110025A</w:t>
            </w:r>
            <w:r w:rsidR="00A35C3C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) </w:t>
            </w:r>
            <w:r w:rsidR="002534FB"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kopējā pamatsumma</w:t>
            </w:r>
            <w:r w:rsidR="00914483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EUR</w:t>
            </w:r>
            <w:r w:rsidR="002534FB" w:rsidRPr="00D165DA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2669" w:type="pct"/>
            <w:vAlign w:val="center"/>
          </w:tcPr>
          <w:p w14:paraId="0E1D2784" w14:textId="292E5624" w:rsidR="00F213E9" w:rsidRPr="008E1FD2" w:rsidRDefault="00F213E9" w:rsidP="008E1FD2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8E1FD2" w:rsidRPr="00FB6803" w14:paraId="4D3DAF07" w14:textId="77777777" w:rsidTr="00D165DA">
        <w:tc>
          <w:tcPr>
            <w:tcW w:w="2331" w:type="pct"/>
            <w:shd w:val="clear" w:color="auto" w:fill="E7E6E6" w:themeFill="background2"/>
            <w:vAlign w:val="center"/>
          </w:tcPr>
          <w:p w14:paraId="0A2FFEF7" w14:textId="0391917C" w:rsidR="008E1FD2" w:rsidRPr="00D165DA" w:rsidRDefault="00542639" w:rsidP="008E1FD2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Obligacionāra t</w:t>
            </w:r>
            <w:r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urēto</w:t>
            </w:r>
            <w:r w:rsidR="008E1FD2"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Obligāciju ar ISIN LV0000850345 </w:t>
            </w:r>
            <w:r w:rsidR="005A2BB9">
              <w:rPr>
                <w:rFonts w:ascii="Arial" w:hAnsi="Arial" w:cs="Arial"/>
                <w:b/>
                <w:sz w:val="20"/>
                <w:szCs w:val="20"/>
                <w:lang w:val="lv-LV"/>
              </w:rPr>
              <w:t>(</w:t>
            </w:r>
            <w:r w:rsidR="005A2BB9" w:rsidRPr="004D2966">
              <w:rPr>
                <w:rFonts w:ascii="Arial" w:hAnsi="Arial" w:cs="Arial"/>
                <w:b/>
                <w:sz w:val="20"/>
                <w:szCs w:val="20"/>
                <w:lang w:val="en-GB"/>
              </w:rPr>
              <w:t>STOH100026A</w:t>
            </w:r>
            <w:r w:rsidR="005A2BB9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) </w:t>
            </w:r>
            <w:r w:rsidR="008E1FD2" w:rsidRPr="00D165DA">
              <w:rPr>
                <w:rFonts w:ascii="Arial" w:hAnsi="Arial" w:cs="Arial"/>
                <w:b/>
                <w:sz w:val="20"/>
                <w:szCs w:val="20"/>
                <w:lang w:val="lv-LV"/>
              </w:rPr>
              <w:t>kopējā pamatsumma</w:t>
            </w: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EUR</w:t>
            </w:r>
            <w:r w:rsidR="008E1FD2" w:rsidRPr="00D165DA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2669" w:type="pct"/>
            <w:vAlign w:val="center"/>
          </w:tcPr>
          <w:p w14:paraId="6E54FB68" w14:textId="4DCC1429" w:rsidR="008E1FD2" w:rsidRPr="00FB6803" w:rsidRDefault="008E1FD2" w:rsidP="008E1FD2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228A0" w:rsidRPr="00FB6803" w14:paraId="2E0D249B" w14:textId="77777777" w:rsidTr="00D165DA"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28826944" w14:textId="67826E79" w:rsidR="008E1FD2" w:rsidRPr="00D165DA" w:rsidRDefault="008A4056" w:rsidP="008E1FD2">
            <w:pPr>
              <w:pStyle w:val="ListParagraph"/>
              <w:ind w:left="0"/>
              <w:contextualSpacing w:val="0"/>
              <w:jc w:val="both"/>
              <w:rPr>
                <w:rStyle w:val="FontStyle58"/>
                <w:rFonts w:ascii="Arial" w:hAnsi="Arial" w:cs="Arial"/>
                <w:bCs/>
                <w:iCs/>
                <w:sz w:val="20"/>
                <w:szCs w:val="20"/>
                <w:lang w:val="lv-LV"/>
              </w:rPr>
            </w:pPr>
            <w:r w:rsidRPr="00D165DA">
              <w:rPr>
                <w:rStyle w:val="FontStyle58"/>
                <w:rFonts w:ascii="Arial" w:hAnsi="Arial" w:cs="Arial"/>
                <w:bCs/>
                <w:iCs/>
                <w:sz w:val="20"/>
                <w:szCs w:val="20"/>
                <w:lang w:val="lv-LV"/>
              </w:rPr>
              <w:t>*</w:t>
            </w:r>
            <w:r w:rsidRPr="00D165DA">
              <w:rPr>
                <w:rStyle w:val="FontStyle58"/>
                <w:bCs/>
                <w:iCs/>
                <w:lang w:val="lv-LV"/>
              </w:rPr>
              <w:t xml:space="preserve"> </w:t>
            </w:r>
            <w:r w:rsidR="002534FB" w:rsidRPr="00D165DA">
              <w:rPr>
                <w:rStyle w:val="FontStyle58"/>
                <w:rFonts w:ascii="Arial" w:hAnsi="Arial" w:cs="Arial"/>
                <w:bCs/>
                <w:iCs/>
                <w:sz w:val="20"/>
                <w:szCs w:val="20"/>
                <w:lang w:val="lv-LV"/>
              </w:rPr>
              <w:t xml:space="preserve">Lūdzu, ņemiet vērā, ka balsošanas veidlapas, kuras parakstījuši </w:t>
            </w:r>
            <w:r w:rsidRPr="00D165DA">
              <w:rPr>
                <w:rStyle w:val="FontStyle58"/>
                <w:rFonts w:ascii="Arial" w:hAnsi="Arial" w:cs="Arial"/>
                <w:bCs/>
                <w:iCs/>
                <w:sz w:val="20"/>
                <w:szCs w:val="20"/>
                <w:lang w:val="lv-LV"/>
              </w:rPr>
              <w:t>O</w:t>
            </w:r>
            <w:r w:rsidRPr="00D165DA">
              <w:rPr>
                <w:rStyle w:val="FontStyle58"/>
                <w:rFonts w:ascii="Arial" w:hAnsi="Arial" w:cs="Arial"/>
                <w:iCs/>
                <w:sz w:val="20"/>
                <w:szCs w:val="20"/>
                <w:lang w:val="lv-LV"/>
              </w:rPr>
              <w:t xml:space="preserve">bligacionāru </w:t>
            </w:r>
            <w:r w:rsidR="002534FB" w:rsidRPr="00D165DA">
              <w:rPr>
                <w:rStyle w:val="FontStyle58"/>
                <w:rFonts w:ascii="Arial" w:hAnsi="Arial" w:cs="Arial"/>
                <w:bCs/>
                <w:iCs/>
                <w:sz w:val="20"/>
                <w:szCs w:val="20"/>
                <w:lang w:val="lv-LV"/>
              </w:rPr>
              <w:t>pārstāvji, kas darbojas uz pilnvarojuma pamata, tiks pieņemtas tikai ar nosacījumu, ka balsošanas veidlapai ir pievienots attiecīgās pilnvaras oriģināls vai apliecināta kopija.</w:t>
            </w:r>
          </w:p>
        </w:tc>
      </w:tr>
      <w:tr w:rsidR="00854FFD" w:rsidRPr="00FB6803" w14:paraId="05D51BFA" w14:textId="77777777" w:rsidTr="00D165DA"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49420C0D" w14:textId="0DE54EF1" w:rsidR="008E1FD2" w:rsidRPr="00D165DA" w:rsidRDefault="002534FB" w:rsidP="008E1FD2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lv-LV"/>
              </w:rPr>
            </w:pPr>
            <w:r w:rsidRPr="00D165DA">
              <w:rPr>
                <w:rFonts w:ascii="Arial" w:hAnsi="Arial" w:cs="Arial"/>
                <w:iCs/>
                <w:sz w:val="20"/>
                <w:szCs w:val="20"/>
                <w:lang w:val="lv-LV"/>
              </w:rPr>
              <w:t xml:space="preserve">Informējam, ka balsošanas procesā iegūtie personas dati tiks izmantoti, lai veiktu balsošanu par grozījumiem un </w:t>
            </w:r>
            <w:r w:rsidR="00D074CD">
              <w:rPr>
                <w:rFonts w:ascii="Arial" w:hAnsi="Arial" w:cs="Arial"/>
                <w:iCs/>
                <w:sz w:val="20"/>
                <w:szCs w:val="20"/>
                <w:lang w:val="lv-LV"/>
              </w:rPr>
              <w:t>apstrādātu</w:t>
            </w:r>
            <w:r w:rsidRPr="00D165DA">
              <w:rPr>
                <w:rFonts w:ascii="Arial" w:hAnsi="Arial" w:cs="Arial"/>
                <w:iCs/>
                <w:sz w:val="20"/>
                <w:szCs w:val="20"/>
                <w:lang w:val="lv-LV"/>
              </w:rPr>
              <w:t xml:space="preserve"> balsošanas rezultātus. Personas dati tiks glabāti tik ilgi, cik nepieciešams balsošanas rezultātu apstiprināšanai. Personas dati netiks nodoti citām treš</w:t>
            </w:r>
            <w:r w:rsidR="0008703C">
              <w:rPr>
                <w:rFonts w:ascii="Arial" w:hAnsi="Arial" w:cs="Arial"/>
                <w:iCs/>
                <w:sz w:val="20"/>
                <w:szCs w:val="20"/>
                <w:lang w:val="lv-LV"/>
              </w:rPr>
              <w:t>aj</w:t>
            </w:r>
            <w:r w:rsidRPr="00D165DA">
              <w:rPr>
                <w:rFonts w:ascii="Arial" w:hAnsi="Arial" w:cs="Arial"/>
                <w:iCs/>
                <w:sz w:val="20"/>
                <w:szCs w:val="20"/>
                <w:lang w:val="lv-LV"/>
              </w:rPr>
              <w:t xml:space="preserve">ām personām, izņemot gadījumus, kad </w:t>
            </w:r>
            <w:r w:rsidR="0008703C">
              <w:rPr>
                <w:rFonts w:ascii="Arial" w:hAnsi="Arial" w:cs="Arial"/>
                <w:iCs/>
                <w:sz w:val="20"/>
                <w:szCs w:val="20"/>
                <w:lang w:val="lv-LV"/>
              </w:rPr>
              <w:t>tas nepieciešams saskaņā ar normatīvajiem aktiem</w:t>
            </w:r>
            <w:r w:rsidRPr="00D165DA">
              <w:rPr>
                <w:rFonts w:ascii="Arial" w:hAnsi="Arial" w:cs="Arial"/>
                <w:iCs/>
                <w:sz w:val="20"/>
                <w:szCs w:val="20"/>
                <w:lang w:val="lv-LV"/>
              </w:rPr>
              <w:t xml:space="preserve"> vai </w:t>
            </w:r>
            <w:r w:rsidR="008E3264">
              <w:rPr>
                <w:rFonts w:ascii="Arial" w:hAnsi="Arial" w:cs="Arial"/>
                <w:iCs/>
                <w:sz w:val="20"/>
                <w:szCs w:val="20"/>
                <w:lang w:val="lv-LV"/>
              </w:rPr>
              <w:t xml:space="preserve">ir saņemts </w:t>
            </w:r>
            <w:r w:rsidRPr="00D165DA">
              <w:rPr>
                <w:rFonts w:ascii="Arial" w:hAnsi="Arial" w:cs="Arial"/>
                <w:iCs/>
                <w:sz w:val="20"/>
                <w:szCs w:val="20"/>
                <w:lang w:val="lv-LV"/>
              </w:rPr>
              <w:t>uzraudzības iestādes juridisks pieprasījums. Lai saņemtu papildu informāciju vai izmantotu savas kā datu subjekta tiesības, lūdzu, sazinieties tieši ar AS “Storent Holding”.</w:t>
            </w:r>
          </w:p>
        </w:tc>
      </w:tr>
    </w:tbl>
    <w:p w14:paraId="44645B4B" w14:textId="77777777" w:rsidR="008E1FD2" w:rsidRDefault="008E1FD2" w:rsidP="008E1FD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i/>
          <w:iCs/>
          <w:color w:val="000000"/>
          <w:sz w:val="20"/>
          <w:szCs w:val="20"/>
          <w:lang w:val="lv-LV" w:eastAsia="lv-LV" w:bidi="lv-LV"/>
        </w:rPr>
      </w:pPr>
    </w:p>
    <w:p w14:paraId="1467D6F7" w14:textId="2A036E35" w:rsidR="00C57DFB" w:rsidRDefault="002534FB" w:rsidP="008E1FD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  <w:lang w:val="lv-LV" w:eastAsia="lv-LV" w:bidi="lv-LV"/>
        </w:rPr>
      </w:pP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Saskaņā ar AS “Storent Holding” </w:t>
      </w:r>
      <w:r w:rsidR="00F9626B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(“</w:t>
      </w:r>
      <w:r w:rsidR="00F9626B">
        <w:rPr>
          <w:rFonts w:ascii="Arial" w:hAnsi="Arial" w:cs="Arial"/>
          <w:b/>
          <w:bCs/>
          <w:color w:val="000000"/>
          <w:sz w:val="20"/>
          <w:szCs w:val="20"/>
          <w:lang w:val="lv-LV" w:eastAsia="lv-LV" w:bidi="lv-LV"/>
        </w:rPr>
        <w:t>Emitents</w:t>
      </w:r>
      <w:r w:rsidR="00F9626B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”)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2024. gada </w:t>
      </w:r>
      <w:r w:rsidR="00F9626B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8. augusta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paziņojumu par raks</w:t>
      </w:r>
      <w:r w:rsidR="00F9626B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tveida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procedūras uzsākšanu </w:t>
      </w:r>
      <w:r w:rsidR="008A4056"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Obligacionāru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piekrišanas saņemšanai (“</w:t>
      </w:r>
      <w:r w:rsidRPr="000C365F">
        <w:rPr>
          <w:rFonts w:ascii="Arial" w:hAnsi="Arial" w:cs="Arial"/>
          <w:b/>
          <w:bCs/>
          <w:color w:val="000000"/>
          <w:sz w:val="20"/>
          <w:szCs w:val="20"/>
          <w:lang w:val="lv-LV" w:eastAsia="lv-LV" w:bidi="lv-LV"/>
        </w:rPr>
        <w:t>Paziņojums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”) </w:t>
      </w:r>
      <w:r w:rsidR="00A908B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Emitents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ir l</w:t>
      </w:r>
      <w:r w:rsidR="00A908B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ūdzis </w:t>
      </w:r>
      <w:r w:rsidR="00DF4C3F"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Obligacionārus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, </w:t>
      </w:r>
      <w:r w:rsidR="00A908B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kuri tur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</w:t>
      </w:r>
      <w:r w:rsidR="00A908B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Emitenta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obligācijas ar ISIN LV0000850089 un ISIN LV0000850345, sniegt piekrišanu grozījumiem </w:t>
      </w:r>
      <w:r w:rsidR="00CE0277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Emitenta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2023. gada 25. maija </w:t>
      </w:r>
      <w:r w:rsidR="00195AA2"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P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amatprospektā un tā 2024. gada 21. februāra papildinājumā </w:t>
      </w:r>
      <w:r w:rsidR="00CE0277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ietvertajos Obligāciju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noteikumos. </w:t>
      </w:r>
    </w:p>
    <w:p w14:paraId="34B0F0FD" w14:textId="77777777" w:rsidR="00C57DFB" w:rsidRDefault="00C57DFB" w:rsidP="008E1FD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  <w:lang w:val="lv-LV" w:eastAsia="lv-LV" w:bidi="lv-LV"/>
        </w:rPr>
      </w:pPr>
    </w:p>
    <w:p w14:paraId="040CD35C" w14:textId="53634D82" w:rsidR="00C20773" w:rsidRDefault="002534FB" w:rsidP="000C6AF9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  <w:lang w:val="lv-LV" w:eastAsia="lv-LV" w:bidi="lv-LV"/>
        </w:rPr>
      </w:pP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Grozījumi ir </w:t>
      </w:r>
      <w:r w:rsidR="00CA2775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norādīti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Paziņojumā un pievienoti Paziņojuma 1. pielikumā (“</w:t>
      </w:r>
      <w:r w:rsidRPr="00437C44">
        <w:rPr>
          <w:rFonts w:ascii="Arial" w:hAnsi="Arial" w:cs="Arial"/>
          <w:b/>
          <w:bCs/>
          <w:color w:val="000000"/>
          <w:sz w:val="20"/>
          <w:szCs w:val="20"/>
          <w:lang w:val="lv-LV" w:eastAsia="lv-LV" w:bidi="lv-LV"/>
        </w:rPr>
        <w:t>Grozījumi</w:t>
      </w:r>
      <w:r w:rsidRPr="00437C44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”)</w:t>
      </w:r>
      <w:r w:rsidR="000C6AF9" w:rsidRPr="00437C44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, </w:t>
      </w:r>
      <w:r w:rsidR="00437C44" w:rsidRPr="00437C44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un paredz, ka, lai </w:t>
      </w:r>
      <w:r w:rsidR="00C20773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Emitents varētu īstenot labvēl</w:t>
      </w:r>
      <w:r w:rsidR="0037027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īgo tirgus situāciju, veiktu būtiskus ieguldījumus un tālāk attīstītu un izmantotu tirgus potenciālu, Obligāciju noteikumu</w:t>
      </w:r>
      <w:r w:rsidR="000C6625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16.2. punkt</w:t>
      </w:r>
      <w:r w:rsidR="00185E81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s</w:t>
      </w:r>
      <w:r w:rsidR="000C6625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</w:t>
      </w:r>
      <w:r w:rsidR="00EF44F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tiek šādi</w:t>
      </w:r>
      <w:r w:rsidR="000C6625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:</w:t>
      </w:r>
    </w:p>
    <w:p w14:paraId="01C90000" w14:textId="77777777" w:rsidR="000C6AF9" w:rsidRDefault="000C6AF9" w:rsidP="000C6AF9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11A23F" w14:textId="1372FE22" w:rsidR="000C6AF9" w:rsidRPr="005F1778" w:rsidRDefault="000C6AF9" w:rsidP="000C6AF9">
      <w:pPr>
        <w:spacing w:after="120"/>
        <w:ind w:left="1080"/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5F1778">
        <w:rPr>
          <w:rFonts w:ascii="Arial" w:hAnsi="Arial" w:cs="Arial"/>
          <w:i/>
          <w:iCs/>
          <w:sz w:val="20"/>
          <w:szCs w:val="20"/>
          <w:lang w:val="lv-LV"/>
        </w:rPr>
        <w:t xml:space="preserve">“16.2. </w:t>
      </w:r>
      <w:r w:rsidR="003B5DCD" w:rsidRPr="005F1778">
        <w:rPr>
          <w:rFonts w:ascii="Arial" w:hAnsi="Arial" w:cs="Arial"/>
          <w:b/>
          <w:bCs/>
          <w:i/>
          <w:iCs/>
          <w:sz w:val="20"/>
          <w:szCs w:val="20"/>
          <w:lang w:val="lv-LV"/>
        </w:rPr>
        <w:t>Neto parāds/</w:t>
      </w:r>
      <w:r w:rsidRPr="005F1778">
        <w:rPr>
          <w:rFonts w:ascii="Arial" w:hAnsi="Arial" w:cs="Arial"/>
          <w:b/>
          <w:bCs/>
          <w:i/>
          <w:iCs/>
          <w:sz w:val="20"/>
          <w:szCs w:val="20"/>
          <w:lang w:val="lv-LV"/>
        </w:rPr>
        <w:t>EBITDA</w:t>
      </w:r>
    </w:p>
    <w:p w14:paraId="1A89FEBE" w14:textId="55B33B70" w:rsidR="000C6AF9" w:rsidRPr="005F1778" w:rsidRDefault="005F1778" w:rsidP="000C6AF9">
      <w:pPr>
        <w:spacing w:after="120"/>
        <w:ind w:left="1080"/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5F1778">
        <w:rPr>
          <w:rFonts w:ascii="Arial" w:hAnsi="Arial" w:cs="Arial"/>
          <w:i/>
          <w:iCs/>
          <w:sz w:val="20"/>
          <w:szCs w:val="20"/>
          <w:lang w:val="lv-LV"/>
        </w:rPr>
        <w:t>Emitenta Neto parāda/EBITDA koeficients</w:t>
      </w:r>
      <w:r>
        <w:rPr>
          <w:rFonts w:ascii="Arial" w:hAnsi="Arial" w:cs="Arial"/>
          <w:i/>
          <w:iCs/>
          <w:sz w:val="20"/>
          <w:szCs w:val="20"/>
          <w:lang w:val="lv-LV"/>
        </w:rPr>
        <w:t xml:space="preserve"> par iepriekšējiem 12 (divpadsmit) mēnešiem</w:t>
      </w:r>
      <w:r w:rsidR="000C6AF9" w:rsidRPr="005F1778">
        <w:rPr>
          <w:rFonts w:ascii="Arial" w:hAnsi="Arial" w:cs="Arial"/>
          <w:i/>
          <w:iCs/>
          <w:sz w:val="20"/>
          <w:szCs w:val="20"/>
          <w:lang w:val="lv-LV"/>
        </w:rPr>
        <w:t xml:space="preserve">: </w:t>
      </w:r>
    </w:p>
    <w:p w14:paraId="3AFE7DD0" w14:textId="1A5A9E39" w:rsidR="000C6AF9" w:rsidRPr="005F1778" w:rsidRDefault="005F1778" w:rsidP="000C6AF9">
      <w:pPr>
        <w:pStyle w:val="ListParagraph"/>
        <w:numPr>
          <w:ilvl w:val="0"/>
          <w:numId w:val="1"/>
        </w:numPr>
        <w:tabs>
          <w:tab w:val="left" w:pos="50"/>
          <w:tab w:val="num" w:pos="1843"/>
        </w:tabs>
        <w:spacing w:after="120" w:line="240" w:lineRule="auto"/>
        <w:ind w:left="2127" w:hanging="993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  <w:lang w:val="lv-LV"/>
        </w:rPr>
      </w:pPr>
      <w:r>
        <w:rPr>
          <w:rFonts w:ascii="Arial" w:hAnsi="Arial" w:cs="Arial"/>
          <w:i/>
          <w:iCs/>
          <w:sz w:val="20"/>
          <w:szCs w:val="20"/>
          <w:lang w:val="lv-LV"/>
        </w:rPr>
        <w:t xml:space="preserve">līdz 2024. gada otrajam </w:t>
      </w:r>
      <w:r w:rsidR="00472DAE">
        <w:rPr>
          <w:rFonts w:ascii="Arial" w:hAnsi="Arial" w:cs="Arial"/>
          <w:i/>
          <w:iCs/>
          <w:sz w:val="20"/>
          <w:szCs w:val="20"/>
          <w:lang w:val="lv-LV"/>
        </w:rPr>
        <w:t>C</w:t>
      </w:r>
      <w:r>
        <w:rPr>
          <w:rFonts w:ascii="Arial" w:hAnsi="Arial" w:cs="Arial"/>
          <w:i/>
          <w:iCs/>
          <w:sz w:val="20"/>
          <w:szCs w:val="20"/>
          <w:lang w:val="lv-LV"/>
        </w:rPr>
        <w:t>eturksnim (ieskaitot) nedrīkst būt augstāks par 2.5;</w:t>
      </w:r>
    </w:p>
    <w:p w14:paraId="502D76A5" w14:textId="28DAC1F4" w:rsidR="000C6AF9" w:rsidRPr="005F1778" w:rsidRDefault="00964AB0" w:rsidP="000C6AF9">
      <w:pPr>
        <w:pStyle w:val="ListParagraph"/>
        <w:numPr>
          <w:ilvl w:val="0"/>
          <w:numId w:val="1"/>
        </w:numPr>
        <w:tabs>
          <w:tab w:val="left" w:pos="50"/>
          <w:tab w:val="num" w:pos="1843"/>
        </w:tabs>
        <w:spacing w:after="120" w:line="240" w:lineRule="auto"/>
        <w:ind w:left="1843" w:hanging="709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  <w:lang w:val="lv-LV"/>
        </w:rPr>
      </w:pPr>
      <w:r>
        <w:rPr>
          <w:rFonts w:ascii="Arial" w:hAnsi="Arial" w:cs="Arial"/>
          <w:i/>
          <w:iCs/>
          <w:sz w:val="20"/>
          <w:szCs w:val="20"/>
          <w:lang w:val="lv-LV"/>
        </w:rPr>
        <w:t xml:space="preserve">no 2024. gada trešā </w:t>
      </w:r>
      <w:r w:rsidR="00472DAE">
        <w:rPr>
          <w:rFonts w:ascii="Arial" w:hAnsi="Arial" w:cs="Arial"/>
          <w:i/>
          <w:iCs/>
          <w:sz w:val="20"/>
          <w:szCs w:val="20"/>
          <w:lang w:val="lv-LV"/>
        </w:rPr>
        <w:t>C</w:t>
      </w:r>
      <w:r>
        <w:rPr>
          <w:rFonts w:ascii="Arial" w:hAnsi="Arial" w:cs="Arial"/>
          <w:i/>
          <w:iCs/>
          <w:sz w:val="20"/>
          <w:szCs w:val="20"/>
          <w:lang w:val="lv-LV"/>
        </w:rPr>
        <w:t xml:space="preserve">eturkšņa līdz 2025. gada </w:t>
      </w:r>
      <w:r w:rsidR="00C16EE3">
        <w:rPr>
          <w:rFonts w:ascii="Arial" w:hAnsi="Arial" w:cs="Arial"/>
          <w:i/>
          <w:iCs/>
          <w:sz w:val="20"/>
          <w:szCs w:val="20"/>
          <w:lang w:val="lv-LV"/>
        </w:rPr>
        <w:t xml:space="preserve">otrajam </w:t>
      </w:r>
      <w:r w:rsidR="00185E81">
        <w:rPr>
          <w:rFonts w:ascii="Arial" w:hAnsi="Arial" w:cs="Arial"/>
          <w:i/>
          <w:iCs/>
          <w:sz w:val="20"/>
          <w:szCs w:val="20"/>
          <w:lang w:val="lv-LV"/>
        </w:rPr>
        <w:t>C</w:t>
      </w:r>
      <w:r w:rsidR="00C16EE3">
        <w:rPr>
          <w:rFonts w:ascii="Arial" w:hAnsi="Arial" w:cs="Arial"/>
          <w:i/>
          <w:iCs/>
          <w:sz w:val="20"/>
          <w:szCs w:val="20"/>
          <w:lang w:val="lv-LV"/>
        </w:rPr>
        <w:t>eturksnim (ieskaitot) nedrīkst būt augstāks par 4;</w:t>
      </w:r>
    </w:p>
    <w:p w14:paraId="7B2D68DC" w14:textId="0FEA6452" w:rsidR="000C6AF9" w:rsidRPr="005F1778" w:rsidRDefault="00C16EE3" w:rsidP="000C6AF9">
      <w:pPr>
        <w:pStyle w:val="ListParagraph"/>
        <w:numPr>
          <w:ilvl w:val="0"/>
          <w:numId w:val="1"/>
        </w:numPr>
        <w:tabs>
          <w:tab w:val="left" w:pos="50"/>
          <w:tab w:val="num" w:pos="1843"/>
        </w:tabs>
        <w:spacing w:after="120" w:line="240" w:lineRule="auto"/>
        <w:ind w:left="2127" w:hanging="993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  <w:lang w:val="lv-LV"/>
        </w:rPr>
      </w:pPr>
      <w:r>
        <w:rPr>
          <w:rFonts w:ascii="Arial" w:hAnsi="Arial" w:cs="Arial"/>
          <w:i/>
          <w:iCs/>
          <w:sz w:val="20"/>
          <w:szCs w:val="20"/>
          <w:lang w:val="lv-LV"/>
        </w:rPr>
        <w:t xml:space="preserve">sākot no 2025. gada trešā </w:t>
      </w:r>
      <w:r w:rsidR="00185E81">
        <w:rPr>
          <w:rFonts w:ascii="Arial" w:hAnsi="Arial" w:cs="Arial"/>
          <w:i/>
          <w:iCs/>
          <w:sz w:val="20"/>
          <w:szCs w:val="20"/>
          <w:lang w:val="lv-LV"/>
        </w:rPr>
        <w:t>C</w:t>
      </w:r>
      <w:r>
        <w:rPr>
          <w:rFonts w:ascii="Arial" w:hAnsi="Arial" w:cs="Arial"/>
          <w:i/>
          <w:iCs/>
          <w:sz w:val="20"/>
          <w:szCs w:val="20"/>
          <w:lang w:val="lv-LV"/>
        </w:rPr>
        <w:t>eturkšņa nedrīkst būt augstāk</w:t>
      </w:r>
      <w:r w:rsidR="007725B2">
        <w:rPr>
          <w:rFonts w:ascii="Arial" w:hAnsi="Arial" w:cs="Arial"/>
          <w:i/>
          <w:iCs/>
          <w:sz w:val="20"/>
          <w:szCs w:val="20"/>
          <w:lang w:val="lv-LV"/>
        </w:rPr>
        <w:t>s</w:t>
      </w:r>
      <w:r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73314C">
        <w:rPr>
          <w:rFonts w:ascii="Arial" w:hAnsi="Arial" w:cs="Arial"/>
          <w:i/>
          <w:iCs/>
          <w:sz w:val="20"/>
          <w:szCs w:val="20"/>
          <w:lang w:val="lv-LV"/>
        </w:rPr>
        <w:t>par 3.5</w:t>
      </w:r>
      <w:r w:rsidR="000C6AF9" w:rsidRPr="005F1778">
        <w:rPr>
          <w:rFonts w:ascii="Arial" w:hAnsi="Arial" w:cs="Arial"/>
          <w:i/>
          <w:iCs/>
          <w:sz w:val="20"/>
          <w:szCs w:val="20"/>
          <w:lang w:val="lv-LV"/>
        </w:rPr>
        <w:t>.</w:t>
      </w:r>
    </w:p>
    <w:p w14:paraId="181CC6B8" w14:textId="6496827C" w:rsidR="000C6AF9" w:rsidRPr="005F1778" w:rsidRDefault="000C6AF9" w:rsidP="000C6AF9">
      <w:pPr>
        <w:tabs>
          <w:tab w:val="left" w:pos="50"/>
          <w:tab w:val="left" w:pos="1134"/>
        </w:tabs>
        <w:spacing w:after="120" w:line="240" w:lineRule="auto"/>
        <w:jc w:val="both"/>
        <w:outlineLvl w:val="2"/>
        <w:rPr>
          <w:rFonts w:ascii="Arial" w:hAnsi="Arial" w:cs="Arial"/>
          <w:i/>
          <w:iCs/>
          <w:sz w:val="20"/>
          <w:szCs w:val="20"/>
          <w:lang w:val="lv-LV"/>
        </w:rPr>
      </w:pPr>
      <w:r w:rsidRPr="005F1778">
        <w:rPr>
          <w:rFonts w:ascii="Arial" w:hAnsi="Arial" w:cs="Arial"/>
          <w:i/>
          <w:iCs/>
          <w:sz w:val="20"/>
          <w:szCs w:val="20"/>
          <w:lang w:val="lv-LV"/>
        </w:rPr>
        <w:tab/>
      </w:r>
      <w:r w:rsidRPr="005F1778">
        <w:rPr>
          <w:rFonts w:ascii="Arial" w:hAnsi="Arial" w:cs="Arial"/>
          <w:i/>
          <w:iCs/>
          <w:sz w:val="20"/>
          <w:szCs w:val="20"/>
          <w:lang w:val="lv-LV"/>
        </w:rPr>
        <w:tab/>
      </w:r>
      <w:r w:rsidR="00065DDC">
        <w:rPr>
          <w:rFonts w:ascii="Arial" w:hAnsi="Arial" w:cs="Arial"/>
          <w:i/>
          <w:iCs/>
          <w:sz w:val="20"/>
          <w:szCs w:val="20"/>
          <w:lang w:val="lv-LV"/>
        </w:rPr>
        <w:t xml:space="preserve">Emitenta Neto parāda/EBITDA koeficientu </w:t>
      </w:r>
      <w:r w:rsidR="004E6EEA">
        <w:rPr>
          <w:rFonts w:ascii="Arial" w:hAnsi="Arial" w:cs="Arial"/>
          <w:i/>
          <w:iCs/>
          <w:sz w:val="20"/>
          <w:szCs w:val="20"/>
          <w:lang w:val="lv-LV"/>
        </w:rPr>
        <w:t>aprēķina</w:t>
      </w:r>
      <w:r w:rsidRPr="005F1778">
        <w:rPr>
          <w:rFonts w:ascii="Arial" w:hAnsi="Arial" w:cs="Arial"/>
          <w:i/>
          <w:iCs/>
          <w:sz w:val="20"/>
          <w:szCs w:val="20"/>
          <w:lang w:val="lv-LV"/>
        </w:rPr>
        <w:t>:</w:t>
      </w:r>
    </w:p>
    <w:p w14:paraId="230051FE" w14:textId="649770A8" w:rsidR="000C6AF9" w:rsidRPr="005F1778" w:rsidRDefault="004E6EEA" w:rsidP="000C6AF9">
      <w:pPr>
        <w:pStyle w:val="ListParagraph"/>
        <w:numPr>
          <w:ilvl w:val="0"/>
          <w:numId w:val="2"/>
        </w:numPr>
        <w:tabs>
          <w:tab w:val="left" w:pos="50"/>
        </w:tabs>
        <w:spacing w:after="120" w:line="240" w:lineRule="auto"/>
        <w:ind w:left="1843" w:hanging="709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  <w:lang w:val="lv-LV"/>
        </w:rPr>
      </w:pPr>
      <w:r w:rsidRPr="004E6EEA">
        <w:rPr>
          <w:rFonts w:ascii="Arial" w:hAnsi="Arial" w:cs="Arial"/>
          <w:i/>
          <w:iCs/>
          <w:sz w:val="20"/>
          <w:szCs w:val="20"/>
          <w:lang w:val="lv-LV"/>
        </w:rPr>
        <w:lastRenderedPageBreak/>
        <w:t xml:space="preserve">katra </w:t>
      </w:r>
      <w:r w:rsidR="00185E81">
        <w:rPr>
          <w:rFonts w:ascii="Arial" w:hAnsi="Arial" w:cs="Arial"/>
          <w:i/>
          <w:iCs/>
          <w:sz w:val="20"/>
          <w:szCs w:val="20"/>
          <w:lang w:val="lv-LV"/>
        </w:rPr>
        <w:t>C</w:t>
      </w:r>
      <w:r w:rsidRPr="004E6EEA">
        <w:rPr>
          <w:rFonts w:ascii="Arial" w:hAnsi="Arial" w:cs="Arial"/>
          <w:i/>
          <w:iCs/>
          <w:sz w:val="20"/>
          <w:szCs w:val="20"/>
          <w:lang w:val="lv-LV"/>
        </w:rPr>
        <w:t xml:space="preserve">eturkšņa beigās, </w:t>
      </w:r>
      <w:r w:rsidR="007E2FBC">
        <w:rPr>
          <w:rFonts w:ascii="Arial" w:hAnsi="Arial" w:cs="Arial"/>
          <w:i/>
          <w:iCs/>
          <w:sz w:val="20"/>
          <w:szCs w:val="20"/>
          <w:lang w:val="lv-LV"/>
        </w:rPr>
        <w:t>nosak</w:t>
      </w:r>
      <w:r w:rsidR="00E638AA">
        <w:rPr>
          <w:rFonts w:ascii="Arial" w:hAnsi="Arial" w:cs="Arial"/>
          <w:i/>
          <w:iCs/>
          <w:sz w:val="20"/>
          <w:szCs w:val="20"/>
          <w:lang w:val="lv-LV"/>
        </w:rPr>
        <w:t>ot</w:t>
      </w:r>
      <w:r w:rsidRPr="004E6EEA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E638AA">
        <w:rPr>
          <w:rFonts w:ascii="Arial" w:hAnsi="Arial" w:cs="Arial"/>
          <w:i/>
          <w:iCs/>
          <w:sz w:val="20"/>
          <w:szCs w:val="20"/>
          <w:lang w:val="lv-LV"/>
        </w:rPr>
        <w:t>saskaņā ar</w:t>
      </w:r>
      <w:r w:rsidRPr="004E6EEA">
        <w:rPr>
          <w:rFonts w:ascii="Arial" w:hAnsi="Arial" w:cs="Arial"/>
          <w:i/>
          <w:iCs/>
          <w:sz w:val="20"/>
          <w:szCs w:val="20"/>
          <w:lang w:val="lv-LV"/>
        </w:rPr>
        <w:t xml:space="preserve"> Emitenta konsolidētajiem mēneša finanšu pārskatiem par iepriekšējiem 12 (divpadsmit) mēnešiem</w:t>
      </w:r>
      <w:r w:rsidR="000C6AF9" w:rsidRPr="005F1778">
        <w:rPr>
          <w:rFonts w:ascii="Arial" w:hAnsi="Arial" w:cs="Arial"/>
          <w:i/>
          <w:iCs/>
          <w:sz w:val="20"/>
          <w:szCs w:val="20"/>
          <w:lang w:val="lv-LV"/>
        </w:rPr>
        <w:t xml:space="preserve">; </w:t>
      </w:r>
      <w:r w:rsidR="000D22D2">
        <w:rPr>
          <w:rFonts w:ascii="Arial" w:hAnsi="Arial" w:cs="Arial"/>
          <w:i/>
          <w:iCs/>
          <w:sz w:val="20"/>
          <w:szCs w:val="20"/>
          <w:lang w:val="lv-LV"/>
        </w:rPr>
        <w:t>un</w:t>
      </w:r>
    </w:p>
    <w:p w14:paraId="5E564C3F" w14:textId="3863BFF6" w:rsidR="000C6AF9" w:rsidRPr="005F1778" w:rsidRDefault="00DC745D" w:rsidP="000C6AF9">
      <w:pPr>
        <w:pStyle w:val="ListParagraph"/>
        <w:numPr>
          <w:ilvl w:val="0"/>
          <w:numId w:val="2"/>
        </w:numPr>
        <w:tabs>
          <w:tab w:val="left" w:pos="50"/>
        </w:tabs>
        <w:spacing w:after="120" w:line="240" w:lineRule="auto"/>
        <w:ind w:left="1843" w:hanging="709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  <w:lang w:val="lv-LV"/>
        </w:rPr>
      </w:pPr>
      <w:r w:rsidRPr="00DC745D">
        <w:rPr>
          <w:rFonts w:ascii="Arial" w:hAnsi="Arial" w:cs="Arial"/>
          <w:i/>
          <w:iCs/>
          <w:sz w:val="20"/>
          <w:szCs w:val="20"/>
          <w:lang w:val="lv-LV"/>
        </w:rPr>
        <w:t xml:space="preserve">katra gada 31. decembrī, </w:t>
      </w:r>
      <w:r w:rsidR="007E2FBC">
        <w:rPr>
          <w:rFonts w:ascii="Arial" w:hAnsi="Arial" w:cs="Arial"/>
          <w:i/>
          <w:iCs/>
          <w:sz w:val="20"/>
          <w:szCs w:val="20"/>
          <w:lang w:val="lv-LV"/>
        </w:rPr>
        <w:t>nosakot</w:t>
      </w:r>
      <w:r w:rsidRPr="00DC745D">
        <w:rPr>
          <w:rFonts w:ascii="Arial" w:hAnsi="Arial" w:cs="Arial"/>
          <w:i/>
          <w:iCs/>
          <w:sz w:val="20"/>
          <w:szCs w:val="20"/>
          <w:lang w:val="lv-LV"/>
        </w:rPr>
        <w:t xml:space="preserve"> konsolidēti</w:t>
      </w:r>
      <w:r w:rsidR="00E638AA">
        <w:rPr>
          <w:rFonts w:ascii="Arial" w:hAnsi="Arial" w:cs="Arial"/>
          <w:i/>
          <w:iCs/>
          <w:sz w:val="20"/>
          <w:szCs w:val="20"/>
          <w:lang w:val="lv-LV"/>
        </w:rPr>
        <w:t xml:space="preserve"> saskaņā ar </w:t>
      </w:r>
      <w:r w:rsidRPr="00DC745D">
        <w:rPr>
          <w:rFonts w:ascii="Arial" w:hAnsi="Arial" w:cs="Arial"/>
          <w:i/>
          <w:iCs/>
          <w:sz w:val="20"/>
          <w:szCs w:val="20"/>
          <w:lang w:val="lv-LV"/>
        </w:rPr>
        <w:t xml:space="preserve">Emitenta </w:t>
      </w:r>
      <w:r w:rsidR="00D61486">
        <w:rPr>
          <w:rFonts w:ascii="Arial" w:hAnsi="Arial" w:cs="Arial"/>
          <w:i/>
          <w:iCs/>
          <w:sz w:val="20"/>
          <w:szCs w:val="20"/>
          <w:lang w:val="lv-LV"/>
        </w:rPr>
        <w:t xml:space="preserve">katra </w:t>
      </w:r>
      <w:r w:rsidRPr="00DC745D">
        <w:rPr>
          <w:rFonts w:ascii="Arial" w:hAnsi="Arial" w:cs="Arial"/>
          <w:i/>
          <w:iCs/>
          <w:sz w:val="20"/>
          <w:szCs w:val="20"/>
          <w:lang w:val="lv-LV"/>
        </w:rPr>
        <w:t>gada finanšu pārskatu</w:t>
      </w:r>
      <w:r w:rsidR="000C6AF9" w:rsidRPr="005F1778">
        <w:rPr>
          <w:rFonts w:ascii="Arial" w:hAnsi="Arial" w:cs="Arial"/>
          <w:i/>
          <w:iCs/>
          <w:sz w:val="20"/>
          <w:szCs w:val="20"/>
          <w:lang w:val="lv-LV"/>
        </w:rPr>
        <w:t>.</w:t>
      </w:r>
    </w:p>
    <w:p w14:paraId="2FB7F7F6" w14:textId="39850F8A" w:rsidR="000C6AF9" w:rsidRPr="005F1778" w:rsidRDefault="000C6AF9" w:rsidP="000C6AF9">
      <w:pPr>
        <w:pStyle w:val="ListParagraph"/>
        <w:tabs>
          <w:tab w:val="left" w:pos="1134"/>
        </w:tabs>
        <w:spacing w:after="120" w:line="240" w:lineRule="auto"/>
        <w:ind w:left="1134"/>
        <w:contextualSpacing w:val="0"/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5F1778">
        <w:rPr>
          <w:rFonts w:ascii="Arial" w:hAnsi="Arial" w:cs="Arial"/>
          <w:i/>
          <w:iCs/>
          <w:sz w:val="20"/>
          <w:szCs w:val="20"/>
          <w:lang w:val="lv-LV"/>
        </w:rPr>
        <w:t>“</w:t>
      </w:r>
      <w:r w:rsidR="003B5DCD" w:rsidRPr="005F1778">
        <w:rPr>
          <w:rFonts w:ascii="Arial" w:hAnsi="Arial" w:cs="Arial"/>
          <w:b/>
          <w:bCs/>
          <w:i/>
          <w:iCs/>
          <w:sz w:val="20"/>
          <w:szCs w:val="20"/>
          <w:lang w:val="lv-LV"/>
        </w:rPr>
        <w:t>Neto parāda/</w:t>
      </w:r>
      <w:r w:rsidRPr="005F1778">
        <w:rPr>
          <w:rFonts w:ascii="Arial" w:hAnsi="Arial" w:cs="Arial"/>
          <w:b/>
          <w:bCs/>
          <w:i/>
          <w:iCs/>
          <w:sz w:val="20"/>
          <w:szCs w:val="20"/>
          <w:lang w:val="lv-LV"/>
        </w:rPr>
        <w:t xml:space="preserve">EBITDA </w:t>
      </w:r>
      <w:r w:rsidR="003B5DCD" w:rsidRPr="005F1778">
        <w:rPr>
          <w:rFonts w:ascii="Arial" w:hAnsi="Arial" w:cs="Arial"/>
          <w:b/>
          <w:bCs/>
          <w:i/>
          <w:iCs/>
          <w:sz w:val="20"/>
          <w:szCs w:val="20"/>
          <w:lang w:val="lv-LV"/>
        </w:rPr>
        <w:t>koeficients</w:t>
      </w:r>
      <w:r w:rsidRPr="005F1778">
        <w:rPr>
          <w:rFonts w:ascii="Arial" w:hAnsi="Arial" w:cs="Arial"/>
          <w:i/>
          <w:iCs/>
          <w:sz w:val="20"/>
          <w:szCs w:val="20"/>
          <w:lang w:val="lv-LV"/>
        </w:rPr>
        <w:t xml:space="preserve">” </w:t>
      </w:r>
      <w:r w:rsidR="00B06817">
        <w:rPr>
          <w:rFonts w:ascii="Arial" w:hAnsi="Arial" w:cs="Arial"/>
          <w:i/>
          <w:iCs/>
          <w:sz w:val="20"/>
          <w:szCs w:val="20"/>
          <w:lang w:val="lv-LV"/>
        </w:rPr>
        <w:t>nozīm</w:t>
      </w:r>
      <w:r w:rsidR="00EF383C">
        <w:rPr>
          <w:rFonts w:ascii="Arial" w:hAnsi="Arial" w:cs="Arial"/>
          <w:i/>
          <w:iCs/>
          <w:sz w:val="20"/>
          <w:szCs w:val="20"/>
          <w:lang w:val="lv-LV"/>
        </w:rPr>
        <w:t>ē attiecību star</w:t>
      </w:r>
      <w:r w:rsidR="008714CE">
        <w:rPr>
          <w:rFonts w:ascii="Arial" w:hAnsi="Arial" w:cs="Arial"/>
          <w:i/>
          <w:iCs/>
          <w:sz w:val="20"/>
          <w:szCs w:val="20"/>
          <w:lang w:val="lv-LV"/>
        </w:rPr>
        <w:t>p</w:t>
      </w:r>
      <w:r w:rsidR="001423CA">
        <w:rPr>
          <w:rFonts w:ascii="Arial" w:hAnsi="Arial" w:cs="Arial"/>
          <w:i/>
          <w:iCs/>
          <w:sz w:val="20"/>
          <w:szCs w:val="20"/>
          <w:lang w:val="lv-LV"/>
        </w:rPr>
        <w:t xml:space="preserve"> parādsaistībām, par kurām jāmaksā procenti (izņemot Subordinēto </w:t>
      </w:r>
      <w:r w:rsidR="004F662F">
        <w:rPr>
          <w:rFonts w:ascii="Arial" w:hAnsi="Arial" w:cs="Arial"/>
          <w:i/>
          <w:iCs/>
          <w:sz w:val="20"/>
          <w:szCs w:val="20"/>
          <w:lang w:val="lv-LV"/>
        </w:rPr>
        <w:t>parādu)</w:t>
      </w:r>
      <w:r w:rsidR="00BD3627">
        <w:rPr>
          <w:rFonts w:ascii="Arial" w:hAnsi="Arial" w:cs="Arial"/>
          <w:i/>
          <w:iCs/>
          <w:sz w:val="20"/>
          <w:szCs w:val="20"/>
          <w:lang w:val="lv-LV"/>
        </w:rPr>
        <w:t>,</w:t>
      </w:r>
      <w:r w:rsidR="004F662F">
        <w:rPr>
          <w:rFonts w:ascii="Arial" w:hAnsi="Arial" w:cs="Arial"/>
          <w:i/>
          <w:iCs/>
          <w:sz w:val="20"/>
          <w:szCs w:val="20"/>
          <w:lang w:val="lv-LV"/>
        </w:rPr>
        <w:t xml:space="preserve"> – (mīnuss) </w:t>
      </w:r>
      <w:r w:rsidR="008714CE">
        <w:rPr>
          <w:rFonts w:ascii="Arial" w:hAnsi="Arial" w:cs="Arial"/>
          <w:i/>
          <w:iCs/>
          <w:sz w:val="20"/>
          <w:szCs w:val="20"/>
          <w:lang w:val="lv-LV"/>
        </w:rPr>
        <w:t xml:space="preserve">naudas </w:t>
      </w:r>
      <w:r w:rsidR="00F66053">
        <w:rPr>
          <w:rFonts w:ascii="Arial" w:hAnsi="Arial" w:cs="Arial"/>
          <w:i/>
          <w:iCs/>
          <w:sz w:val="20"/>
          <w:szCs w:val="20"/>
          <w:lang w:val="lv-LV"/>
        </w:rPr>
        <w:t xml:space="preserve">līdzekļu </w:t>
      </w:r>
      <w:r w:rsidR="008714CE">
        <w:rPr>
          <w:rFonts w:ascii="Arial" w:hAnsi="Arial" w:cs="Arial"/>
          <w:i/>
          <w:iCs/>
          <w:sz w:val="20"/>
          <w:szCs w:val="20"/>
          <w:lang w:val="lv-LV"/>
        </w:rPr>
        <w:t>attiecību pret attiecīgā novērtēšanas perioda EBITDA</w:t>
      </w:r>
      <w:r w:rsidRPr="005F1778">
        <w:rPr>
          <w:rFonts w:ascii="Arial" w:hAnsi="Arial" w:cs="Arial"/>
          <w:i/>
          <w:iCs/>
          <w:sz w:val="20"/>
          <w:szCs w:val="20"/>
          <w:lang w:val="lv-LV"/>
        </w:rPr>
        <w:t xml:space="preserve">.  </w:t>
      </w:r>
    </w:p>
    <w:p w14:paraId="3FB0617F" w14:textId="63899E43" w:rsidR="000C6AF9" w:rsidRPr="005F1778" w:rsidRDefault="000C6AF9" w:rsidP="000C6AF9">
      <w:pPr>
        <w:pStyle w:val="ListParagraph"/>
        <w:tabs>
          <w:tab w:val="left" w:pos="1134"/>
        </w:tabs>
        <w:spacing w:after="120" w:line="240" w:lineRule="auto"/>
        <w:ind w:left="1134"/>
        <w:contextualSpacing w:val="0"/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5F1778">
        <w:rPr>
          <w:rFonts w:ascii="Arial" w:hAnsi="Arial" w:cs="Arial"/>
          <w:i/>
          <w:iCs/>
          <w:sz w:val="20"/>
          <w:szCs w:val="20"/>
          <w:lang w:val="lv-LV"/>
        </w:rPr>
        <w:t>“</w:t>
      </w:r>
      <w:r w:rsidRPr="005F1778">
        <w:rPr>
          <w:rFonts w:ascii="Arial" w:hAnsi="Arial" w:cs="Arial"/>
          <w:b/>
          <w:bCs/>
          <w:i/>
          <w:iCs/>
          <w:sz w:val="20"/>
          <w:szCs w:val="20"/>
          <w:lang w:val="lv-LV"/>
        </w:rPr>
        <w:t>EBITDA</w:t>
      </w:r>
      <w:r w:rsidRPr="005F1778">
        <w:rPr>
          <w:rFonts w:ascii="Arial" w:hAnsi="Arial" w:cs="Arial"/>
          <w:i/>
          <w:iCs/>
          <w:sz w:val="20"/>
          <w:szCs w:val="20"/>
          <w:lang w:val="lv-LV"/>
        </w:rPr>
        <w:t xml:space="preserve">” </w:t>
      </w:r>
      <w:r w:rsidR="00CA24B3">
        <w:rPr>
          <w:rFonts w:ascii="Arial" w:hAnsi="Arial" w:cs="Arial"/>
          <w:i/>
          <w:iCs/>
          <w:sz w:val="20"/>
          <w:szCs w:val="20"/>
          <w:lang w:val="lv-LV"/>
        </w:rPr>
        <w:t>nozīm</w:t>
      </w:r>
      <w:r w:rsidR="008A6ADB">
        <w:rPr>
          <w:rFonts w:ascii="Arial" w:hAnsi="Arial" w:cs="Arial"/>
          <w:i/>
          <w:iCs/>
          <w:sz w:val="20"/>
          <w:szCs w:val="20"/>
          <w:lang w:val="lv-LV"/>
        </w:rPr>
        <w:t>ē neto ienākumus attiecīgajā novērtēšanas periodā pirms</w:t>
      </w:r>
      <w:r w:rsidR="00622315">
        <w:rPr>
          <w:rFonts w:ascii="Arial" w:hAnsi="Arial" w:cs="Arial"/>
          <w:i/>
          <w:iCs/>
          <w:sz w:val="20"/>
          <w:szCs w:val="20"/>
          <w:lang w:val="lv-LV"/>
        </w:rPr>
        <w:t>:</w:t>
      </w:r>
      <w:r w:rsidRPr="005F1778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</w:p>
    <w:p w14:paraId="6C9929C3" w14:textId="7DB313BB" w:rsidR="000C6AF9" w:rsidRPr="005F1778" w:rsidRDefault="00CC2859" w:rsidP="000C6AF9">
      <w:pPr>
        <w:pStyle w:val="ListParagraph"/>
        <w:numPr>
          <w:ilvl w:val="0"/>
          <w:numId w:val="3"/>
        </w:numPr>
        <w:tabs>
          <w:tab w:val="left" w:pos="50"/>
        </w:tabs>
        <w:spacing w:after="120" w:line="240" w:lineRule="auto"/>
        <w:ind w:left="1843" w:hanging="709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  <w:lang w:val="lv-LV"/>
        </w:rPr>
      </w:pPr>
      <w:r>
        <w:rPr>
          <w:rFonts w:ascii="Arial" w:hAnsi="Arial" w:cs="Arial"/>
          <w:i/>
          <w:iCs/>
          <w:sz w:val="20"/>
          <w:szCs w:val="20"/>
          <w:lang w:val="lv-LV"/>
        </w:rPr>
        <w:t xml:space="preserve">jebkādiem </w:t>
      </w:r>
      <w:r w:rsidR="00A10BD6">
        <w:rPr>
          <w:rFonts w:ascii="Arial" w:hAnsi="Arial" w:cs="Arial"/>
          <w:i/>
          <w:iCs/>
          <w:sz w:val="20"/>
          <w:szCs w:val="20"/>
          <w:lang w:val="lv-LV"/>
        </w:rPr>
        <w:t>nodokļu uzkrājumiem</w:t>
      </w:r>
      <w:r w:rsidR="000C6AF9" w:rsidRPr="005F1778">
        <w:rPr>
          <w:rFonts w:ascii="Arial" w:hAnsi="Arial" w:cs="Arial"/>
          <w:i/>
          <w:iCs/>
          <w:sz w:val="20"/>
          <w:szCs w:val="20"/>
          <w:lang w:val="lv-LV"/>
        </w:rPr>
        <w:t xml:space="preserve">; </w:t>
      </w:r>
    </w:p>
    <w:p w14:paraId="4AE41BDE" w14:textId="0380C167" w:rsidR="000C6AF9" w:rsidRPr="005F1778" w:rsidRDefault="00A27E81" w:rsidP="000C6AF9">
      <w:pPr>
        <w:pStyle w:val="ListParagraph"/>
        <w:numPr>
          <w:ilvl w:val="0"/>
          <w:numId w:val="3"/>
        </w:numPr>
        <w:tabs>
          <w:tab w:val="left" w:pos="50"/>
        </w:tabs>
        <w:spacing w:after="120" w:line="240" w:lineRule="auto"/>
        <w:ind w:left="1843" w:hanging="709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  <w:lang w:val="lv-LV"/>
        </w:rPr>
      </w:pPr>
      <w:r w:rsidRPr="00A27E81">
        <w:rPr>
          <w:rFonts w:ascii="Arial" w:hAnsi="Arial" w:cs="Arial"/>
          <w:i/>
          <w:iCs/>
          <w:sz w:val="20"/>
          <w:szCs w:val="20"/>
          <w:lang w:val="lv-LV"/>
        </w:rPr>
        <w:t>jebkādiem procentiem, komisijas maksām, atlaidēm vai citām maksām, kas radušās vai maksājamas, saņemtas vai saņemamas saistībā ar finanšu parādsaistībām</w:t>
      </w:r>
      <w:r w:rsidR="000C6AF9" w:rsidRPr="005F1778">
        <w:rPr>
          <w:rFonts w:ascii="Arial" w:hAnsi="Arial" w:cs="Arial"/>
          <w:i/>
          <w:iCs/>
          <w:sz w:val="20"/>
          <w:szCs w:val="20"/>
          <w:lang w:val="lv-LV"/>
        </w:rPr>
        <w:t xml:space="preserve">; </w:t>
      </w:r>
    </w:p>
    <w:p w14:paraId="2C0E0192" w14:textId="0F89F3FA" w:rsidR="000C6AF9" w:rsidRPr="005F1778" w:rsidRDefault="001414E2" w:rsidP="000C6AF9">
      <w:pPr>
        <w:pStyle w:val="ListParagraph"/>
        <w:numPr>
          <w:ilvl w:val="0"/>
          <w:numId w:val="3"/>
        </w:numPr>
        <w:tabs>
          <w:tab w:val="left" w:pos="50"/>
        </w:tabs>
        <w:spacing w:after="120" w:line="240" w:lineRule="auto"/>
        <w:ind w:left="1843" w:hanging="709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  <w:lang w:val="lv-LV"/>
        </w:rPr>
      </w:pPr>
      <w:r>
        <w:rPr>
          <w:rFonts w:ascii="Arial" w:hAnsi="Arial" w:cs="Arial"/>
          <w:i/>
          <w:iCs/>
          <w:sz w:val="20"/>
          <w:szCs w:val="20"/>
          <w:lang w:val="lv-LV"/>
        </w:rPr>
        <w:t>jebkād</w:t>
      </w:r>
      <w:r w:rsidR="00CB66FD">
        <w:rPr>
          <w:rFonts w:ascii="Arial" w:hAnsi="Arial" w:cs="Arial"/>
          <w:i/>
          <w:iCs/>
          <w:sz w:val="20"/>
          <w:szCs w:val="20"/>
          <w:lang w:val="lv-LV"/>
        </w:rPr>
        <w:t>a</w:t>
      </w:r>
      <w:r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Pr="001414E2">
        <w:rPr>
          <w:rFonts w:ascii="Arial" w:hAnsi="Arial" w:cs="Arial"/>
          <w:i/>
          <w:iCs/>
          <w:sz w:val="20"/>
          <w:szCs w:val="20"/>
          <w:lang w:val="lv-LV"/>
        </w:rPr>
        <w:t>materiālo un nemateriālo aktīvu nolietojum</w:t>
      </w:r>
      <w:r w:rsidR="00CB66FD">
        <w:rPr>
          <w:rFonts w:ascii="Arial" w:hAnsi="Arial" w:cs="Arial"/>
          <w:i/>
          <w:iCs/>
          <w:sz w:val="20"/>
          <w:szCs w:val="20"/>
          <w:lang w:val="lv-LV"/>
        </w:rPr>
        <w:t>a</w:t>
      </w:r>
      <w:r w:rsidRPr="001414E2">
        <w:rPr>
          <w:rFonts w:ascii="Arial" w:hAnsi="Arial" w:cs="Arial"/>
          <w:i/>
          <w:iCs/>
          <w:sz w:val="20"/>
          <w:szCs w:val="20"/>
          <w:lang w:val="lv-LV"/>
        </w:rPr>
        <w:t xml:space="preserve"> un amortizācij</w:t>
      </w:r>
      <w:r w:rsidR="00CB66FD">
        <w:rPr>
          <w:rFonts w:ascii="Arial" w:hAnsi="Arial" w:cs="Arial"/>
          <w:i/>
          <w:iCs/>
          <w:sz w:val="20"/>
          <w:szCs w:val="20"/>
          <w:lang w:val="lv-LV"/>
        </w:rPr>
        <w:t>as</w:t>
      </w:r>
      <w:r w:rsidR="000C6AF9" w:rsidRPr="005F1778">
        <w:rPr>
          <w:rFonts w:ascii="Arial" w:hAnsi="Arial" w:cs="Arial"/>
          <w:i/>
          <w:iCs/>
          <w:sz w:val="20"/>
          <w:szCs w:val="20"/>
          <w:lang w:val="lv-LV"/>
        </w:rPr>
        <w:t xml:space="preserve">; </w:t>
      </w:r>
      <w:r>
        <w:rPr>
          <w:rFonts w:ascii="Arial" w:hAnsi="Arial" w:cs="Arial"/>
          <w:i/>
          <w:iCs/>
          <w:sz w:val="20"/>
          <w:szCs w:val="20"/>
          <w:lang w:val="lv-LV"/>
        </w:rPr>
        <w:t>un</w:t>
      </w:r>
      <w:r w:rsidR="000C6AF9" w:rsidRPr="005F1778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</w:p>
    <w:p w14:paraId="305F036D" w14:textId="5EEF2BB1" w:rsidR="000C6AF9" w:rsidRPr="005F1778" w:rsidRDefault="000B3597" w:rsidP="000C6AF9">
      <w:pPr>
        <w:pStyle w:val="ListParagraph"/>
        <w:numPr>
          <w:ilvl w:val="0"/>
          <w:numId w:val="3"/>
        </w:numPr>
        <w:tabs>
          <w:tab w:val="left" w:pos="50"/>
        </w:tabs>
        <w:spacing w:after="120" w:line="240" w:lineRule="auto"/>
        <w:ind w:left="1843" w:hanging="709"/>
        <w:contextualSpacing w:val="0"/>
        <w:jc w:val="both"/>
        <w:outlineLvl w:val="2"/>
        <w:rPr>
          <w:rFonts w:ascii="Arial" w:hAnsi="Arial" w:cs="Arial"/>
          <w:sz w:val="20"/>
          <w:szCs w:val="20"/>
          <w:lang w:val="lv-LV"/>
        </w:rPr>
      </w:pPr>
      <w:r w:rsidRPr="000B3597">
        <w:rPr>
          <w:rFonts w:ascii="Arial" w:hAnsi="Arial" w:cs="Arial"/>
          <w:i/>
          <w:iCs/>
          <w:sz w:val="20"/>
          <w:szCs w:val="20"/>
          <w:lang w:val="lv-LV"/>
        </w:rPr>
        <w:t>jebk</w:t>
      </w:r>
      <w:r>
        <w:rPr>
          <w:rFonts w:ascii="Arial" w:hAnsi="Arial" w:cs="Arial"/>
          <w:i/>
          <w:iCs/>
          <w:sz w:val="20"/>
          <w:szCs w:val="20"/>
          <w:lang w:val="lv-LV"/>
        </w:rPr>
        <w:t>ād</w:t>
      </w:r>
      <w:r w:rsidR="00CB66FD">
        <w:rPr>
          <w:rFonts w:ascii="Arial" w:hAnsi="Arial" w:cs="Arial"/>
          <w:i/>
          <w:iCs/>
          <w:sz w:val="20"/>
          <w:szCs w:val="20"/>
          <w:lang w:val="lv-LV"/>
        </w:rPr>
        <w:t>as</w:t>
      </w:r>
      <w:r w:rsidRPr="000B3597">
        <w:rPr>
          <w:rFonts w:ascii="Arial" w:hAnsi="Arial" w:cs="Arial"/>
          <w:i/>
          <w:iCs/>
          <w:sz w:val="20"/>
          <w:szCs w:val="20"/>
          <w:lang w:val="lv-LV"/>
        </w:rPr>
        <w:t xml:space="preserve"> aktīvu pārvērtēšan</w:t>
      </w:r>
      <w:r w:rsidR="005068F8">
        <w:rPr>
          <w:rFonts w:ascii="Arial" w:hAnsi="Arial" w:cs="Arial"/>
          <w:i/>
          <w:iCs/>
          <w:sz w:val="20"/>
          <w:szCs w:val="20"/>
          <w:lang w:val="lv-LV"/>
        </w:rPr>
        <w:t>as</w:t>
      </w:r>
      <w:r w:rsidRPr="000B3597">
        <w:rPr>
          <w:rFonts w:ascii="Arial" w:hAnsi="Arial" w:cs="Arial"/>
          <w:i/>
          <w:iCs/>
          <w:sz w:val="20"/>
          <w:szCs w:val="20"/>
          <w:lang w:val="lv-LV"/>
        </w:rPr>
        <w:t>, atsavināšan</w:t>
      </w:r>
      <w:r w:rsidR="005068F8">
        <w:rPr>
          <w:rFonts w:ascii="Arial" w:hAnsi="Arial" w:cs="Arial"/>
          <w:i/>
          <w:iCs/>
          <w:sz w:val="20"/>
          <w:szCs w:val="20"/>
          <w:lang w:val="lv-LV"/>
        </w:rPr>
        <w:t>as</w:t>
      </w:r>
      <w:r w:rsidRPr="000B3597">
        <w:rPr>
          <w:rFonts w:ascii="Arial" w:hAnsi="Arial" w:cs="Arial"/>
          <w:i/>
          <w:iCs/>
          <w:sz w:val="20"/>
          <w:szCs w:val="20"/>
          <w:lang w:val="lv-LV"/>
        </w:rPr>
        <w:t xml:space="preserve"> vai norakstīšan</w:t>
      </w:r>
      <w:r w:rsidR="005068F8">
        <w:rPr>
          <w:rFonts w:ascii="Arial" w:hAnsi="Arial" w:cs="Arial"/>
          <w:i/>
          <w:iCs/>
          <w:sz w:val="20"/>
          <w:szCs w:val="20"/>
          <w:lang w:val="lv-LV"/>
        </w:rPr>
        <w:t>as</w:t>
      </w:r>
      <w:r w:rsidR="000C6AF9" w:rsidRPr="005F1778">
        <w:rPr>
          <w:rFonts w:ascii="Arial" w:hAnsi="Arial" w:cs="Arial"/>
          <w:sz w:val="20"/>
          <w:szCs w:val="20"/>
          <w:lang w:val="lv-LV"/>
        </w:rPr>
        <w:t>.”</w:t>
      </w:r>
    </w:p>
    <w:p w14:paraId="359C6702" w14:textId="77777777" w:rsidR="008E1FD2" w:rsidRDefault="008E1FD2" w:rsidP="008E1FD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  <w:lang w:val="lv-LV" w:eastAsia="lv-LV" w:bidi="lv-LV"/>
        </w:rPr>
      </w:pPr>
    </w:p>
    <w:p w14:paraId="271F0645" w14:textId="590F28C8" w:rsidR="00FA11D3" w:rsidRPr="000C365F" w:rsidRDefault="002534FB" w:rsidP="008E1FD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  <w:lang w:val="en-GB" w:eastAsia="lv-LV" w:bidi="lv-LV"/>
        </w:rPr>
      </w:pP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Ar šo </w:t>
      </w:r>
      <w:r w:rsidR="008A4056"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Obligacionārs</w:t>
      </w:r>
      <w:r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balso par piekrišanas piešķiršanu Grozījumiem šādi</w:t>
      </w:r>
      <w:r w:rsidR="00FA11D3" w:rsidRPr="000C365F">
        <w:rPr>
          <w:rFonts w:ascii="Arial" w:hAnsi="Arial" w:cs="Arial"/>
          <w:color w:val="000000"/>
          <w:sz w:val="20"/>
          <w:szCs w:val="20"/>
          <w:lang w:val="lv-LV" w:eastAsia="lv-LV" w:bidi="lv-LV"/>
        </w:rPr>
        <w:t>:</w:t>
      </w:r>
    </w:p>
    <w:p w14:paraId="7BCDC43A" w14:textId="77777777" w:rsidR="00FA11D3" w:rsidRPr="00FB6803" w:rsidRDefault="00FA11D3" w:rsidP="008E1FD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  <w:lang w:val="en-GB" w:eastAsia="lv-LV" w:bidi="lv-LV"/>
        </w:rPr>
      </w:pPr>
    </w:p>
    <w:p w14:paraId="1FEDE02E" w14:textId="14DDA8F5" w:rsidR="00FA11D3" w:rsidRPr="00FB6803" w:rsidRDefault="002534FB" w:rsidP="008E1FD2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color w:val="000000"/>
          <w:sz w:val="20"/>
          <w:szCs w:val="20"/>
          <w:lang w:val="en-GB" w:eastAsia="lv-LV" w:bidi="lv-LV"/>
        </w:rPr>
      </w:pPr>
      <w:r w:rsidRPr="008E1FD2">
        <w:rPr>
          <w:rFonts w:ascii="Arial" w:hAnsi="Arial" w:cs="Arial"/>
          <w:b/>
          <w:bCs/>
          <w:color w:val="000000"/>
          <w:sz w:val="20"/>
          <w:szCs w:val="20"/>
          <w:lang w:val="en-GB" w:eastAsia="lv-LV" w:bidi="lv-LV"/>
        </w:rPr>
        <w:t>PAR</w:t>
      </w:r>
      <w:r w:rsidR="00FA11D3" w:rsidRPr="00FB6803">
        <w:rPr>
          <w:rFonts w:ascii="Arial" w:hAnsi="Arial" w:cs="Arial"/>
          <w:color w:val="000000"/>
          <w:sz w:val="20"/>
          <w:szCs w:val="20"/>
          <w:lang w:val="en-GB" w:eastAsia="lv-LV" w:bidi="lv-LV"/>
        </w:rPr>
        <w:tab/>
      </w:r>
      <w:r w:rsidR="00FA11D3" w:rsidRPr="00FB6803">
        <w:rPr>
          <w:rFonts w:ascii="Arial" w:hAnsi="Arial" w:cs="Arial"/>
          <w:color w:val="000000"/>
          <w:sz w:val="20"/>
          <w:szCs w:val="20"/>
          <w:lang w:val="en-GB" w:eastAsia="lv-LV" w:bidi="lv-LV"/>
        </w:rPr>
        <w:tab/>
      </w:r>
      <w:r w:rsidRPr="008E1FD2">
        <w:rPr>
          <w:rFonts w:ascii="Arial" w:hAnsi="Arial" w:cs="Arial"/>
          <w:b/>
          <w:bCs/>
          <w:color w:val="000000"/>
          <w:sz w:val="20"/>
          <w:szCs w:val="20"/>
          <w:lang w:val="en-GB" w:eastAsia="lv-LV" w:bidi="lv-LV"/>
        </w:rPr>
        <w:t>PRET</w:t>
      </w:r>
    </w:p>
    <w:p w14:paraId="03BE08FA" w14:textId="77777777" w:rsidR="008228A0" w:rsidRPr="00FB6803" w:rsidRDefault="008228A0" w:rsidP="008E1FD2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color w:val="000000"/>
          <w:sz w:val="20"/>
          <w:szCs w:val="20"/>
          <w:lang w:val="en-GB" w:eastAsia="lv-LV" w:bidi="lv-LV"/>
        </w:rPr>
      </w:pPr>
    </w:p>
    <w:p w14:paraId="24B9D1F3" w14:textId="3C8FC219" w:rsidR="002534FB" w:rsidRPr="000C365F" w:rsidRDefault="002534FB" w:rsidP="008E1FD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iCs/>
          <w:color w:val="000000"/>
          <w:sz w:val="20"/>
          <w:szCs w:val="20"/>
          <w:lang w:val="lv-LV" w:bidi="en-US"/>
        </w:rPr>
      </w:pPr>
      <w:r w:rsidRPr="000C365F">
        <w:rPr>
          <w:rFonts w:ascii="Arial" w:hAnsi="Arial" w:cs="Arial"/>
          <w:iCs/>
          <w:color w:val="000000"/>
          <w:sz w:val="20"/>
          <w:szCs w:val="20"/>
          <w:lang w:val="lv-LV" w:bidi="en-US"/>
        </w:rPr>
        <w:t xml:space="preserve">Balsošanas instrukcijas. Ja vēlaties balsot “PAR” ierosinātajiem grozījumiem, lūdzu, atzīmējiet </w:t>
      </w:r>
      <w:r w:rsidR="00F21597" w:rsidRPr="000C365F">
        <w:rPr>
          <w:rFonts w:ascii="Arial" w:hAnsi="Arial" w:cs="Arial"/>
          <w:iCs/>
          <w:color w:val="000000"/>
          <w:sz w:val="20"/>
          <w:szCs w:val="20"/>
          <w:lang w:val="lv-LV" w:bidi="en-US"/>
        </w:rPr>
        <w:t>vai pasvītrojiet</w:t>
      </w:r>
      <w:r w:rsidRPr="000C365F">
        <w:rPr>
          <w:rFonts w:ascii="Arial" w:hAnsi="Arial" w:cs="Arial"/>
          <w:iCs/>
          <w:color w:val="000000"/>
          <w:sz w:val="20"/>
          <w:szCs w:val="20"/>
          <w:lang w:val="lv-LV" w:bidi="en-US"/>
        </w:rPr>
        <w:t xml:space="preserve"> “PAR”. Tomēr, ja vēlaties balsot “PRET” ierosinātajiem grozījumiem, atzīmējiet </w:t>
      </w:r>
      <w:r w:rsidR="00F21597" w:rsidRPr="000C365F">
        <w:rPr>
          <w:rFonts w:ascii="Arial" w:hAnsi="Arial" w:cs="Arial"/>
          <w:iCs/>
          <w:color w:val="000000"/>
          <w:sz w:val="20"/>
          <w:szCs w:val="20"/>
          <w:lang w:val="lv-LV" w:bidi="en-US"/>
        </w:rPr>
        <w:t xml:space="preserve">vai pasvītrojiet </w:t>
      </w:r>
      <w:r w:rsidRPr="000C365F">
        <w:rPr>
          <w:rFonts w:ascii="Arial" w:hAnsi="Arial" w:cs="Arial"/>
          <w:iCs/>
          <w:color w:val="000000"/>
          <w:sz w:val="20"/>
          <w:szCs w:val="20"/>
          <w:lang w:val="lv-LV" w:bidi="en-US"/>
        </w:rPr>
        <w:t>lodziņu “PRET”.</w:t>
      </w:r>
    </w:p>
    <w:p w14:paraId="051EC1F6" w14:textId="77777777" w:rsidR="00854FFD" w:rsidRPr="00E42984" w:rsidRDefault="00854FFD" w:rsidP="008E1FD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i/>
          <w:color w:val="000000"/>
          <w:sz w:val="20"/>
          <w:szCs w:val="20"/>
          <w:lang w:val="lv-LV" w:bidi="en-US"/>
        </w:rPr>
      </w:pPr>
    </w:p>
    <w:p w14:paraId="371A7CBE" w14:textId="77777777" w:rsidR="00F21597" w:rsidRPr="00E42984" w:rsidRDefault="00F21597" w:rsidP="008E1FD2">
      <w:pPr>
        <w:pStyle w:val="ListParagraph"/>
        <w:spacing w:after="0" w:line="240" w:lineRule="auto"/>
        <w:ind w:left="0"/>
        <w:contextualSpacing w:val="0"/>
        <w:jc w:val="both"/>
        <w:rPr>
          <w:rStyle w:val="FontStyle58"/>
          <w:rFonts w:ascii="Arial" w:hAnsi="Arial" w:cs="Arial"/>
          <w:sz w:val="20"/>
          <w:szCs w:val="20"/>
          <w:lang w:val="lv-LV"/>
        </w:rPr>
      </w:pPr>
    </w:p>
    <w:p w14:paraId="25F03334" w14:textId="5FF62AD5" w:rsidR="00F21597" w:rsidRPr="00E42984" w:rsidRDefault="00913A7B" w:rsidP="008E1FD2">
      <w:pPr>
        <w:pStyle w:val="ListParagraph"/>
        <w:spacing w:after="0" w:line="240" w:lineRule="auto"/>
        <w:ind w:left="0"/>
        <w:contextualSpacing w:val="0"/>
        <w:jc w:val="both"/>
        <w:rPr>
          <w:rStyle w:val="FontStyle58"/>
          <w:rFonts w:ascii="Arial" w:hAnsi="Arial" w:cs="Arial"/>
          <w:sz w:val="20"/>
          <w:szCs w:val="20"/>
          <w:lang w:val="lv-LV"/>
        </w:rPr>
      </w:pPr>
      <w:r w:rsidRPr="00E42984">
        <w:rPr>
          <w:rStyle w:val="FontStyle58"/>
          <w:rFonts w:ascii="Arial" w:hAnsi="Arial" w:cs="Arial"/>
          <w:sz w:val="20"/>
          <w:szCs w:val="20"/>
          <w:lang w:val="lv-LV"/>
        </w:rPr>
        <w:t>Vieta un datums</w:t>
      </w:r>
      <w:r w:rsidR="00F21597" w:rsidRPr="00E42984">
        <w:rPr>
          <w:rStyle w:val="FontStyle58"/>
          <w:rFonts w:ascii="Arial" w:hAnsi="Arial" w:cs="Arial"/>
          <w:sz w:val="20"/>
          <w:szCs w:val="20"/>
          <w:lang w:val="lv-LV"/>
        </w:rPr>
        <w:t>: ________________________</w:t>
      </w:r>
    </w:p>
    <w:p w14:paraId="0AE923B7" w14:textId="77777777" w:rsidR="00F21597" w:rsidRPr="00E42984" w:rsidRDefault="00F21597" w:rsidP="008E1FD2">
      <w:pPr>
        <w:pStyle w:val="ListParagraph"/>
        <w:spacing w:after="0" w:line="240" w:lineRule="auto"/>
        <w:ind w:left="0"/>
        <w:contextualSpacing w:val="0"/>
        <w:jc w:val="both"/>
        <w:rPr>
          <w:rStyle w:val="FontStyle58"/>
          <w:rFonts w:ascii="Arial" w:hAnsi="Arial" w:cs="Arial"/>
          <w:sz w:val="20"/>
          <w:szCs w:val="20"/>
          <w:lang w:val="lv-LV"/>
        </w:rPr>
      </w:pPr>
    </w:p>
    <w:p w14:paraId="70D69467" w14:textId="77777777" w:rsidR="00F21597" w:rsidRPr="00E42984" w:rsidRDefault="00F21597" w:rsidP="008E1FD2">
      <w:pPr>
        <w:pStyle w:val="ListParagraph"/>
        <w:spacing w:after="0" w:line="240" w:lineRule="auto"/>
        <w:ind w:left="0"/>
        <w:contextualSpacing w:val="0"/>
        <w:jc w:val="both"/>
        <w:rPr>
          <w:rStyle w:val="FontStyle58"/>
          <w:rFonts w:ascii="Arial" w:hAnsi="Arial" w:cs="Arial"/>
          <w:sz w:val="20"/>
          <w:szCs w:val="20"/>
          <w:lang w:val="lv-LV"/>
        </w:rPr>
      </w:pPr>
    </w:p>
    <w:p w14:paraId="3191880D" w14:textId="1DDBA7AF" w:rsidR="00FA11D3" w:rsidRPr="00FB6803" w:rsidRDefault="00913A7B" w:rsidP="008E1FD2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r w:rsidRPr="00E42984">
        <w:rPr>
          <w:rStyle w:val="FontStyle58"/>
          <w:rFonts w:ascii="Arial" w:hAnsi="Arial" w:cs="Arial"/>
          <w:sz w:val="20"/>
          <w:szCs w:val="20"/>
          <w:lang w:val="lv-LV"/>
        </w:rPr>
        <w:t>Paraksts</w:t>
      </w:r>
      <w:r w:rsidR="00F21597" w:rsidRPr="00E42984">
        <w:rPr>
          <w:rStyle w:val="FontStyle58"/>
          <w:rFonts w:ascii="Arial" w:hAnsi="Arial" w:cs="Arial"/>
          <w:sz w:val="20"/>
          <w:szCs w:val="20"/>
          <w:lang w:val="lv-LV"/>
        </w:rPr>
        <w:t>:</w:t>
      </w:r>
      <w:r w:rsidR="00F21597" w:rsidRPr="00FB6803">
        <w:rPr>
          <w:rStyle w:val="FontStyle58"/>
          <w:rFonts w:ascii="Arial" w:hAnsi="Arial" w:cs="Arial"/>
          <w:sz w:val="20"/>
          <w:szCs w:val="20"/>
          <w:lang w:val="en-GB"/>
        </w:rPr>
        <w:t xml:space="preserve"> ________________________</w:t>
      </w:r>
      <w:r w:rsidR="00F21597">
        <w:rPr>
          <w:rStyle w:val="FontStyle58"/>
          <w:rFonts w:ascii="Arial" w:hAnsi="Arial" w:cs="Arial"/>
          <w:sz w:val="20"/>
          <w:szCs w:val="20"/>
          <w:lang w:val="en-GB"/>
        </w:rPr>
        <w:t>____</w:t>
      </w:r>
      <w:r w:rsidR="001C386E">
        <w:rPr>
          <w:rStyle w:val="FontStyle58"/>
          <w:rFonts w:ascii="Arial" w:hAnsi="Arial" w:cs="Arial"/>
          <w:sz w:val="20"/>
          <w:szCs w:val="20"/>
          <w:lang w:val="en-GB"/>
        </w:rPr>
        <w:t>__</w:t>
      </w:r>
    </w:p>
    <w:sectPr w:rsidR="00FA11D3" w:rsidRPr="00FB6803" w:rsidSect="008E1FD2">
      <w:headerReference w:type="default" r:id="rId10"/>
      <w:pgSz w:w="12240" w:h="15840"/>
      <w:pgMar w:top="1418" w:right="11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42793" w14:textId="77777777" w:rsidR="006276DD" w:rsidRDefault="006276DD" w:rsidP="00715448">
      <w:pPr>
        <w:spacing w:after="0" w:line="240" w:lineRule="auto"/>
      </w:pPr>
      <w:r>
        <w:separator/>
      </w:r>
    </w:p>
  </w:endnote>
  <w:endnote w:type="continuationSeparator" w:id="0">
    <w:p w14:paraId="3B2B37F0" w14:textId="77777777" w:rsidR="006276DD" w:rsidRDefault="006276DD" w:rsidP="00715448">
      <w:pPr>
        <w:spacing w:after="0" w:line="240" w:lineRule="auto"/>
      </w:pPr>
      <w:r>
        <w:continuationSeparator/>
      </w:r>
    </w:p>
  </w:endnote>
  <w:endnote w:type="continuationNotice" w:id="1">
    <w:p w14:paraId="1F0B8938" w14:textId="77777777" w:rsidR="006276DD" w:rsidRDefault="00627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74E1F" w14:textId="77777777" w:rsidR="006276DD" w:rsidRDefault="006276DD" w:rsidP="00715448">
      <w:pPr>
        <w:spacing w:after="0" w:line="240" w:lineRule="auto"/>
      </w:pPr>
      <w:r>
        <w:separator/>
      </w:r>
    </w:p>
  </w:footnote>
  <w:footnote w:type="continuationSeparator" w:id="0">
    <w:p w14:paraId="4D9A1A30" w14:textId="77777777" w:rsidR="006276DD" w:rsidRDefault="006276DD" w:rsidP="00715448">
      <w:pPr>
        <w:spacing w:after="0" w:line="240" w:lineRule="auto"/>
      </w:pPr>
      <w:r>
        <w:continuationSeparator/>
      </w:r>
    </w:p>
  </w:footnote>
  <w:footnote w:type="continuationNotice" w:id="1">
    <w:p w14:paraId="0282B1DE" w14:textId="77777777" w:rsidR="006276DD" w:rsidRDefault="006276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D83E7" w14:textId="6D2E10C0" w:rsidR="000C365F" w:rsidRPr="000C365F" w:rsidRDefault="000C365F" w:rsidP="000C365F">
    <w:pPr>
      <w:pStyle w:val="Header"/>
      <w:jc w:val="right"/>
      <w:rPr>
        <w:rFonts w:ascii="Arial" w:hAnsi="Arial" w:cs="Arial"/>
        <w:b/>
        <w:bCs/>
        <w:i/>
        <w:iCs/>
        <w:sz w:val="20"/>
        <w:szCs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4475E"/>
    <w:multiLevelType w:val="hybridMultilevel"/>
    <w:tmpl w:val="32E29A26"/>
    <w:lvl w:ilvl="0" w:tplc="5E2EA4C8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010" w:hanging="360"/>
      </w:pPr>
    </w:lvl>
    <w:lvl w:ilvl="2" w:tplc="F0ACC040">
      <w:start w:val="1"/>
      <w:numFmt w:val="lowerRoman"/>
      <w:lvlText w:val="(%3)"/>
      <w:lvlJc w:val="right"/>
      <w:pPr>
        <w:ind w:left="2730" w:hanging="18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3450" w:hanging="360"/>
      </w:pPr>
    </w:lvl>
    <w:lvl w:ilvl="4" w:tplc="04260019" w:tentative="1">
      <w:start w:val="1"/>
      <w:numFmt w:val="lowerLetter"/>
      <w:lvlText w:val="%5."/>
      <w:lvlJc w:val="left"/>
      <w:pPr>
        <w:ind w:left="4170" w:hanging="360"/>
      </w:pPr>
    </w:lvl>
    <w:lvl w:ilvl="5" w:tplc="0426001B" w:tentative="1">
      <w:start w:val="1"/>
      <w:numFmt w:val="lowerRoman"/>
      <w:lvlText w:val="%6."/>
      <w:lvlJc w:val="right"/>
      <w:pPr>
        <w:ind w:left="4890" w:hanging="180"/>
      </w:pPr>
    </w:lvl>
    <w:lvl w:ilvl="6" w:tplc="0426000F" w:tentative="1">
      <w:start w:val="1"/>
      <w:numFmt w:val="decimal"/>
      <w:lvlText w:val="%7."/>
      <w:lvlJc w:val="left"/>
      <w:pPr>
        <w:ind w:left="5610" w:hanging="360"/>
      </w:pPr>
    </w:lvl>
    <w:lvl w:ilvl="7" w:tplc="04260019" w:tentative="1">
      <w:start w:val="1"/>
      <w:numFmt w:val="lowerLetter"/>
      <w:lvlText w:val="%8."/>
      <w:lvlJc w:val="left"/>
      <w:pPr>
        <w:ind w:left="6330" w:hanging="360"/>
      </w:pPr>
    </w:lvl>
    <w:lvl w:ilvl="8" w:tplc="042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64C53257"/>
    <w:multiLevelType w:val="hybridMultilevel"/>
    <w:tmpl w:val="32E29A26"/>
    <w:lvl w:ilvl="0" w:tplc="FFFFFFFF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10" w:hanging="360"/>
      </w:pPr>
    </w:lvl>
    <w:lvl w:ilvl="2" w:tplc="FFFFFFFF">
      <w:start w:val="1"/>
      <w:numFmt w:val="lowerRoman"/>
      <w:lvlText w:val="(%3)"/>
      <w:lvlJc w:val="right"/>
      <w:pPr>
        <w:ind w:left="273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75FA423B"/>
    <w:multiLevelType w:val="hybridMultilevel"/>
    <w:tmpl w:val="32E29A26"/>
    <w:lvl w:ilvl="0" w:tplc="FFFFFFFF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10" w:hanging="360"/>
      </w:pPr>
    </w:lvl>
    <w:lvl w:ilvl="2" w:tplc="FFFFFFFF">
      <w:start w:val="1"/>
      <w:numFmt w:val="lowerRoman"/>
      <w:lvlText w:val="(%3)"/>
      <w:lvlJc w:val="right"/>
      <w:pPr>
        <w:ind w:left="273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1806654406">
    <w:abstractNumId w:val="0"/>
  </w:num>
  <w:num w:numId="2" w16cid:durableId="2073000889">
    <w:abstractNumId w:val="1"/>
  </w:num>
  <w:num w:numId="3" w16cid:durableId="418403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1B4"/>
    <w:rsid w:val="00025F11"/>
    <w:rsid w:val="00045737"/>
    <w:rsid w:val="00052A56"/>
    <w:rsid w:val="00054FC2"/>
    <w:rsid w:val="00065DDC"/>
    <w:rsid w:val="000732A4"/>
    <w:rsid w:val="00080017"/>
    <w:rsid w:val="0008703C"/>
    <w:rsid w:val="0009147C"/>
    <w:rsid w:val="000A38FB"/>
    <w:rsid w:val="000B3597"/>
    <w:rsid w:val="000C365F"/>
    <w:rsid w:val="000C6625"/>
    <w:rsid w:val="000C6AF9"/>
    <w:rsid w:val="000D22D2"/>
    <w:rsid w:val="000F417B"/>
    <w:rsid w:val="00110884"/>
    <w:rsid w:val="0012298F"/>
    <w:rsid w:val="001376FF"/>
    <w:rsid w:val="001414E2"/>
    <w:rsid w:val="001423CA"/>
    <w:rsid w:val="0015661F"/>
    <w:rsid w:val="00185E81"/>
    <w:rsid w:val="001921D6"/>
    <w:rsid w:val="0019412F"/>
    <w:rsid w:val="00195AA2"/>
    <w:rsid w:val="001C386E"/>
    <w:rsid w:val="001D0717"/>
    <w:rsid w:val="001D2370"/>
    <w:rsid w:val="00205675"/>
    <w:rsid w:val="002220CA"/>
    <w:rsid w:val="002230D8"/>
    <w:rsid w:val="00224F59"/>
    <w:rsid w:val="002265A0"/>
    <w:rsid w:val="00252653"/>
    <w:rsid w:val="002534FB"/>
    <w:rsid w:val="00253D45"/>
    <w:rsid w:val="00261DB8"/>
    <w:rsid w:val="0028123B"/>
    <w:rsid w:val="002838E2"/>
    <w:rsid w:val="00291B4F"/>
    <w:rsid w:val="002937E3"/>
    <w:rsid w:val="00293F23"/>
    <w:rsid w:val="002B72D5"/>
    <w:rsid w:val="002E1A95"/>
    <w:rsid w:val="002E3380"/>
    <w:rsid w:val="00303C47"/>
    <w:rsid w:val="00314CDB"/>
    <w:rsid w:val="003203F3"/>
    <w:rsid w:val="0033024C"/>
    <w:rsid w:val="003379D6"/>
    <w:rsid w:val="003479C8"/>
    <w:rsid w:val="0037027F"/>
    <w:rsid w:val="003940DD"/>
    <w:rsid w:val="00394194"/>
    <w:rsid w:val="003B5DCD"/>
    <w:rsid w:val="003C57E8"/>
    <w:rsid w:val="0040490E"/>
    <w:rsid w:val="00437C44"/>
    <w:rsid w:val="004615A6"/>
    <w:rsid w:val="00462671"/>
    <w:rsid w:val="00472DAE"/>
    <w:rsid w:val="00481A6E"/>
    <w:rsid w:val="00485F9E"/>
    <w:rsid w:val="004A2F1D"/>
    <w:rsid w:val="004C11CC"/>
    <w:rsid w:val="004D1AB3"/>
    <w:rsid w:val="004E6EEA"/>
    <w:rsid w:val="004F662F"/>
    <w:rsid w:val="004F799A"/>
    <w:rsid w:val="005068F8"/>
    <w:rsid w:val="00520C70"/>
    <w:rsid w:val="00542639"/>
    <w:rsid w:val="00551552"/>
    <w:rsid w:val="005645DE"/>
    <w:rsid w:val="00576F09"/>
    <w:rsid w:val="00593E32"/>
    <w:rsid w:val="005A2BB9"/>
    <w:rsid w:val="005A61E7"/>
    <w:rsid w:val="005D5D4C"/>
    <w:rsid w:val="005D767D"/>
    <w:rsid w:val="005E0CC5"/>
    <w:rsid w:val="005F1778"/>
    <w:rsid w:val="0061297F"/>
    <w:rsid w:val="00622315"/>
    <w:rsid w:val="006276DD"/>
    <w:rsid w:val="0063003B"/>
    <w:rsid w:val="006434CA"/>
    <w:rsid w:val="0066547F"/>
    <w:rsid w:val="00670894"/>
    <w:rsid w:val="00697C87"/>
    <w:rsid w:val="006C2026"/>
    <w:rsid w:val="006C37E5"/>
    <w:rsid w:val="006F23F4"/>
    <w:rsid w:val="006F24F8"/>
    <w:rsid w:val="00707CC3"/>
    <w:rsid w:val="00715448"/>
    <w:rsid w:val="00715F1D"/>
    <w:rsid w:val="0071708C"/>
    <w:rsid w:val="0073138D"/>
    <w:rsid w:val="0073314C"/>
    <w:rsid w:val="00761F9B"/>
    <w:rsid w:val="00761FFA"/>
    <w:rsid w:val="007725B2"/>
    <w:rsid w:val="00772729"/>
    <w:rsid w:val="00793C8F"/>
    <w:rsid w:val="00796CFC"/>
    <w:rsid w:val="007C43BF"/>
    <w:rsid w:val="007D0FB1"/>
    <w:rsid w:val="007E2FBC"/>
    <w:rsid w:val="008228A0"/>
    <w:rsid w:val="00854FFD"/>
    <w:rsid w:val="00861B31"/>
    <w:rsid w:val="00865975"/>
    <w:rsid w:val="008714CE"/>
    <w:rsid w:val="0087411A"/>
    <w:rsid w:val="0088490E"/>
    <w:rsid w:val="008A4056"/>
    <w:rsid w:val="008A639F"/>
    <w:rsid w:val="008A6ADB"/>
    <w:rsid w:val="008E1FD2"/>
    <w:rsid w:val="008E3264"/>
    <w:rsid w:val="00905FF3"/>
    <w:rsid w:val="00913A7B"/>
    <w:rsid w:val="00914483"/>
    <w:rsid w:val="009433CD"/>
    <w:rsid w:val="00950318"/>
    <w:rsid w:val="00964AB0"/>
    <w:rsid w:val="0098050A"/>
    <w:rsid w:val="009B4EFB"/>
    <w:rsid w:val="009C1447"/>
    <w:rsid w:val="009E2513"/>
    <w:rsid w:val="009F152E"/>
    <w:rsid w:val="00A00A1A"/>
    <w:rsid w:val="00A0175C"/>
    <w:rsid w:val="00A10BD6"/>
    <w:rsid w:val="00A27E81"/>
    <w:rsid w:val="00A35C3C"/>
    <w:rsid w:val="00A404F3"/>
    <w:rsid w:val="00A40AF2"/>
    <w:rsid w:val="00A520A2"/>
    <w:rsid w:val="00A908BF"/>
    <w:rsid w:val="00A95843"/>
    <w:rsid w:val="00AF3482"/>
    <w:rsid w:val="00B06817"/>
    <w:rsid w:val="00B57F77"/>
    <w:rsid w:val="00B81913"/>
    <w:rsid w:val="00B948AE"/>
    <w:rsid w:val="00BC03F9"/>
    <w:rsid w:val="00BC054F"/>
    <w:rsid w:val="00BD3627"/>
    <w:rsid w:val="00BF0DD0"/>
    <w:rsid w:val="00C15C96"/>
    <w:rsid w:val="00C16EE3"/>
    <w:rsid w:val="00C20773"/>
    <w:rsid w:val="00C2181D"/>
    <w:rsid w:val="00C57DFB"/>
    <w:rsid w:val="00C761B4"/>
    <w:rsid w:val="00C90122"/>
    <w:rsid w:val="00CA24B3"/>
    <w:rsid w:val="00CA2775"/>
    <w:rsid w:val="00CB66FD"/>
    <w:rsid w:val="00CC2859"/>
    <w:rsid w:val="00CE0277"/>
    <w:rsid w:val="00D05F1B"/>
    <w:rsid w:val="00D074CD"/>
    <w:rsid w:val="00D165DA"/>
    <w:rsid w:val="00D31578"/>
    <w:rsid w:val="00D5175E"/>
    <w:rsid w:val="00D545C9"/>
    <w:rsid w:val="00D61486"/>
    <w:rsid w:val="00D635D7"/>
    <w:rsid w:val="00D72733"/>
    <w:rsid w:val="00DB5A0B"/>
    <w:rsid w:val="00DC745D"/>
    <w:rsid w:val="00DD3512"/>
    <w:rsid w:val="00DE309D"/>
    <w:rsid w:val="00DE64BD"/>
    <w:rsid w:val="00DF4C3F"/>
    <w:rsid w:val="00E42984"/>
    <w:rsid w:val="00E638AA"/>
    <w:rsid w:val="00E70423"/>
    <w:rsid w:val="00EC7074"/>
    <w:rsid w:val="00EE54D5"/>
    <w:rsid w:val="00EF3727"/>
    <w:rsid w:val="00EF383C"/>
    <w:rsid w:val="00EF44FF"/>
    <w:rsid w:val="00F213E9"/>
    <w:rsid w:val="00F21597"/>
    <w:rsid w:val="00F23259"/>
    <w:rsid w:val="00F5328A"/>
    <w:rsid w:val="00F6036A"/>
    <w:rsid w:val="00F66053"/>
    <w:rsid w:val="00F66568"/>
    <w:rsid w:val="00F7202D"/>
    <w:rsid w:val="00F74009"/>
    <w:rsid w:val="00F84F7D"/>
    <w:rsid w:val="00F9626B"/>
    <w:rsid w:val="00F96683"/>
    <w:rsid w:val="00F96BF7"/>
    <w:rsid w:val="00FA11D3"/>
    <w:rsid w:val="00FA68F5"/>
    <w:rsid w:val="00FB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4B4230"/>
  <w15:docId w15:val="{82FBB28E-6B4C-4C88-8184-08DD8369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61B4"/>
    <w:pPr>
      <w:ind w:left="720"/>
      <w:contextualSpacing/>
    </w:pPr>
  </w:style>
  <w:style w:type="character" w:customStyle="1" w:styleId="FontStyle58">
    <w:name w:val="Font Style58"/>
    <w:uiPriority w:val="99"/>
    <w:rsid w:val="00C761B4"/>
    <w:rPr>
      <w:rFonts w:ascii="Times New Roman" w:hAnsi="Times New Roman" w:cs="Times New Roman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76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54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8"/>
  </w:style>
  <w:style w:type="paragraph" w:styleId="Footer">
    <w:name w:val="footer"/>
    <w:basedOn w:val="Normal"/>
    <w:link w:val="FooterChar"/>
    <w:uiPriority w:val="99"/>
    <w:unhideWhenUsed/>
    <w:rsid w:val="007154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8"/>
  </w:style>
  <w:style w:type="character" w:styleId="CommentReference">
    <w:name w:val="annotation reference"/>
    <w:basedOn w:val="DefaultParagraphFont"/>
    <w:uiPriority w:val="99"/>
    <w:semiHidden/>
    <w:unhideWhenUsed/>
    <w:rsid w:val="00EC7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0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0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38E2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0C6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7D2AFB1579A40868AE3FAB95B3A8B" ma:contentTypeVersion="17" ma:contentTypeDescription="Create a new document." ma:contentTypeScope="" ma:versionID="59e5d802d25e5e2365a59a264ec010f6">
  <xsd:schema xmlns:xsd="http://www.w3.org/2001/XMLSchema" xmlns:xs="http://www.w3.org/2001/XMLSchema" xmlns:p="http://schemas.microsoft.com/office/2006/metadata/properties" xmlns:ns2="b2b671b1-b1e8-45fd-8373-87307918b7ed" xmlns:ns3="d557a005-5e78-4b43-8274-3d12bb9bc5b7" targetNamespace="http://schemas.microsoft.com/office/2006/metadata/properties" ma:root="true" ma:fieldsID="eee36e78e330496b90a45fae5be6966b" ns2:_="" ns3:_="">
    <xsd:import namespace="b2b671b1-b1e8-45fd-8373-87307918b7ed"/>
    <xsd:import namespace="d557a005-5e78-4b43-8274-3d12bb9bc5b7"/>
    <xsd:element name="properties">
      <xsd:complexType>
        <xsd:sequence>
          <xsd:element name="documentManagement">
            <xsd:complexType>
              <xsd:all>
                <xsd:element ref="ns2:DocumentDate" minOccurs="0"/>
                <xsd:element ref="ns2:VersionComment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671b1-b1e8-45fd-8373-87307918b7ed" elementFormDefault="qualified">
    <xsd:import namespace="http://schemas.microsoft.com/office/2006/documentManagement/types"/>
    <xsd:import namespace="http://schemas.microsoft.com/office/infopath/2007/PartnerControls"/>
    <xsd:element name="DocumentDate" ma:index="1" nillable="true" ma:displayName="Document Date" ma:default="[today]" ma:format="DateOnly" ma:internalName="DocumentDate">
      <xsd:simpleType>
        <xsd:restriction base="dms:DateTime"/>
      </xsd:simpleType>
    </xsd:element>
    <xsd:element name="VersionComments" ma:index="2" nillable="true" ma:displayName="Version Comments" ma:format="Dropdown" ma:internalName="VersionComments" ma:readOnly="fals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8db7ac-dabb-487d-99cf-287c4a3c0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7a005-5e78-4b43-8274-3d12bb9bc5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cd58b3c-31df-4c09-9df9-b369c0d43698}" ma:internalName="TaxCatchAll" ma:readOnly="false" ma:showField="CatchAllData" ma:web="d557a005-5e78-4b43-8274-3d12bb9bc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7a005-5e78-4b43-8274-3d12bb9bc5b7" xsi:nil="true"/>
    <DocumentDate xmlns="b2b671b1-b1e8-45fd-8373-87307918b7ed">2024-08-09T06:59:00+00:00</DocumentDate>
    <VersionComments xmlns="b2b671b1-b1e8-45fd-8373-87307918b7ed" xsi:nil="true"/>
    <lcf76f155ced4ddcb4097134ff3c332f xmlns="b2b671b1-b1e8-45fd-8373-87307918b7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D4070A-081F-4845-8B37-2C239ABFE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A2208-91FB-4967-B09D-862B9A3E4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671b1-b1e8-45fd-8373-87307918b7ed"/>
    <ds:schemaRef ds:uri="d557a005-5e78-4b43-8274-3d12bb9bc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4ABC4D-6D25-45CC-AF3B-75C8316168E8}">
  <ds:schemaRefs>
    <ds:schemaRef ds:uri="http://schemas.microsoft.com/office/2006/metadata/properties"/>
    <ds:schemaRef ds:uri="http://schemas.microsoft.com/office/infopath/2007/PartnerControls"/>
    <ds:schemaRef ds:uri="d557a005-5e78-4b43-8274-3d12bb9bc5b7"/>
    <ds:schemaRef ds:uri="b2b671b1-b1e8-45fd-8373-87307918b7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2604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COBALT</dc:creator>
  <cp:keywords/>
  <dc:description/>
  <cp:lastModifiedBy>COBALT</cp:lastModifiedBy>
  <cp:revision>79</cp:revision>
  <dcterms:created xsi:type="dcterms:W3CDTF">2024-06-03T14:19:00Z</dcterms:created>
  <dcterms:modified xsi:type="dcterms:W3CDTF">2024-08-09T08:37:00Z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0x010100BFC7D2AFB1579A40868AE3FAB95B3A8B</vt:lpwstr>
  </property>
  <property fmtid="{D5CDD505-2E9C-101B-9397-08002B2CF9AE}" pid="3" name="MediaServiceImageTags">
    <vt:lpwstr/>
  </property>
</Properties>
</file>